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Pr="00FB3AF5" w:rsidRDefault="00661B95" w:rsidP="00661B95">
      <w:pPr>
        <w:jc w:val="center"/>
      </w:pPr>
      <w:r w:rsidRPr="00FB3AF5">
        <w:rPr>
          <w:noProof/>
        </w:rPr>
        <w:drawing>
          <wp:inline distT="0" distB="0" distL="0" distR="0" wp14:anchorId="3484C170" wp14:editId="63FDBDE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Pr="00FB3AF5" w:rsidRDefault="00661B95" w:rsidP="00661B95">
      <w:pPr>
        <w:jc w:val="center"/>
      </w:pPr>
    </w:p>
    <w:p w:rsidR="00661B95" w:rsidRPr="00FB3AF5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FB3AF5">
        <w:rPr>
          <w:b/>
          <w:bCs/>
          <w:sz w:val="22"/>
        </w:rPr>
        <w:t>COLLEGE AND GRADUATE SCHOOL OF EDUCATION, HEALTH, AND HUMAN SERVICES</w:t>
      </w:r>
    </w:p>
    <w:p w:rsidR="00661B95" w:rsidRPr="00FB3AF5" w:rsidRDefault="00661B95" w:rsidP="00661B95">
      <w:pPr>
        <w:jc w:val="center"/>
        <w:rPr>
          <w:sz w:val="22"/>
        </w:rPr>
      </w:pPr>
      <w:r w:rsidRPr="00FB3AF5">
        <w:rPr>
          <w:sz w:val="22"/>
        </w:rPr>
        <w:t>Office of the Associate Dean for Administrative Affairs and Graduate Education</w:t>
      </w:r>
    </w:p>
    <w:p w:rsidR="00661B95" w:rsidRPr="00FB3AF5" w:rsidRDefault="007057C5" w:rsidP="00661B95">
      <w:pPr>
        <w:jc w:val="center"/>
        <w:rPr>
          <w:b/>
          <w:sz w:val="22"/>
        </w:rPr>
      </w:pPr>
      <w:r w:rsidRPr="00FB3AF5">
        <w:rPr>
          <w:b/>
          <w:sz w:val="22"/>
        </w:rPr>
        <w:t>GRADUATE PROGRAM COORDINATORS MEETING</w:t>
      </w:r>
    </w:p>
    <w:p w:rsidR="00661B95" w:rsidRPr="00FB3AF5" w:rsidRDefault="00661B95" w:rsidP="00661B95">
      <w:pPr>
        <w:jc w:val="center"/>
        <w:rPr>
          <w:b/>
          <w:sz w:val="22"/>
        </w:rPr>
      </w:pPr>
      <w:r w:rsidRPr="00FB3AF5">
        <w:rPr>
          <w:b/>
          <w:sz w:val="22"/>
        </w:rPr>
        <w:t xml:space="preserve">September </w:t>
      </w:r>
      <w:r w:rsidR="006C0478" w:rsidRPr="00FB3AF5">
        <w:rPr>
          <w:b/>
          <w:sz w:val="22"/>
        </w:rPr>
        <w:t>05</w:t>
      </w:r>
      <w:r w:rsidRPr="00FB3AF5">
        <w:rPr>
          <w:b/>
          <w:sz w:val="22"/>
        </w:rPr>
        <w:t>, 20</w:t>
      </w:r>
      <w:r w:rsidR="00285CB0" w:rsidRPr="00FB3AF5">
        <w:rPr>
          <w:b/>
          <w:sz w:val="22"/>
        </w:rPr>
        <w:t>1</w:t>
      </w:r>
      <w:r w:rsidR="006C0478" w:rsidRPr="00FB3AF5">
        <w:rPr>
          <w:b/>
          <w:sz w:val="22"/>
        </w:rPr>
        <w:t>4</w:t>
      </w:r>
    </w:p>
    <w:p w:rsidR="00661B95" w:rsidRPr="00FB3AF5" w:rsidRDefault="00661B95" w:rsidP="00661B95">
      <w:pPr>
        <w:jc w:val="center"/>
      </w:pPr>
    </w:p>
    <w:p w:rsidR="005D2B5A" w:rsidRPr="00FB3AF5" w:rsidRDefault="005D2B5A" w:rsidP="005D2B5A">
      <w:pPr>
        <w:rPr>
          <w:sz w:val="18"/>
          <w:szCs w:val="18"/>
        </w:rPr>
      </w:pPr>
      <w:r w:rsidRPr="00FB3AF5">
        <w:rPr>
          <w:sz w:val="18"/>
          <w:szCs w:val="18"/>
        </w:rPr>
        <w:t>MEMBERS ATTENDING: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2343"/>
        <w:gridCol w:w="2413"/>
        <w:gridCol w:w="2406"/>
      </w:tblGrid>
      <w:tr w:rsidR="005D2B5A" w:rsidRPr="00FB3AF5" w:rsidTr="001F4B52">
        <w:tc>
          <w:tcPr>
            <w:tcW w:w="2414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343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413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406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TLC</w:t>
            </w:r>
          </w:p>
        </w:tc>
      </w:tr>
      <w:tr w:rsidR="005D2B5A" w:rsidRPr="00FB3AF5" w:rsidTr="001F4B52">
        <w:trPr>
          <w:trHeight w:val="233"/>
        </w:trPr>
        <w:tc>
          <w:tcPr>
            <w:tcW w:w="2414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Boske, Christa</w:t>
            </w:r>
          </w:p>
        </w:tc>
        <w:tc>
          <w:tcPr>
            <w:tcW w:w="234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Cox, Jane</w:t>
            </w:r>
          </w:p>
        </w:tc>
        <w:tc>
          <w:tcPr>
            <w:tcW w:w="2406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Hawley, Todd</w:t>
            </w:r>
          </w:p>
        </w:tc>
      </w:tr>
      <w:tr w:rsidR="005D2B5A" w:rsidRPr="00FB3AF5" w:rsidTr="001F4B52">
        <w:tc>
          <w:tcPr>
            <w:tcW w:w="2414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 xml:space="preserve">Iverson, Susan for </w:t>
            </w:r>
          </w:p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Hilton, Tracy Lara</w:t>
            </w:r>
          </w:p>
        </w:tc>
        <w:tc>
          <w:tcPr>
            <w:tcW w:w="234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Glickman, Ellen</w:t>
            </w:r>
          </w:p>
        </w:tc>
        <w:tc>
          <w:tcPr>
            <w:tcW w:w="241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Cichy, Kelly</w:t>
            </w:r>
          </w:p>
        </w:tc>
        <w:tc>
          <w:tcPr>
            <w:tcW w:w="2406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Henderson, Jim</w:t>
            </w:r>
          </w:p>
        </w:tc>
      </w:tr>
      <w:tr w:rsidR="005D2B5A" w:rsidRPr="00FB3AF5" w:rsidTr="001F4B52">
        <w:tc>
          <w:tcPr>
            <w:tcW w:w="2414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Levinson, Natasha</w:t>
            </w:r>
          </w:p>
        </w:tc>
        <w:tc>
          <w:tcPr>
            <w:tcW w:w="234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Gordon, Karen</w:t>
            </w:r>
          </w:p>
        </w:tc>
        <w:tc>
          <w:tcPr>
            <w:tcW w:w="241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Sansosti, Frank</w:t>
            </w:r>
          </w:p>
        </w:tc>
        <w:tc>
          <w:tcPr>
            <w:tcW w:w="2406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Kroeger, Janice</w:t>
            </w:r>
          </w:p>
        </w:tc>
      </w:tr>
      <w:tr w:rsidR="005D2B5A" w:rsidRPr="00FB3AF5" w:rsidTr="001F4B52">
        <w:tc>
          <w:tcPr>
            <w:tcW w:w="2414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Lyberger, Mark</w:t>
            </w:r>
          </w:p>
        </w:tc>
        <w:tc>
          <w:tcPr>
            <w:tcW w:w="234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Huston, Jeff</w:t>
            </w:r>
          </w:p>
        </w:tc>
        <w:tc>
          <w:tcPr>
            <w:tcW w:w="241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Tiene, Drew</w:t>
            </w:r>
          </w:p>
        </w:tc>
        <w:tc>
          <w:tcPr>
            <w:tcW w:w="2406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O’Connor, Pat</w:t>
            </w:r>
          </w:p>
        </w:tc>
      </w:tr>
      <w:tr w:rsidR="005D2B5A" w:rsidRPr="00FB3AF5" w:rsidTr="001F4B52">
        <w:tc>
          <w:tcPr>
            <w:tcW w:w="2414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Niesz, Tricia</w:t>
            </w:r>
          </w:p>
        </w:tc>
        <w:tc>
          <w:tcPr>
            <w:tcW w:w="234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 xml:space="preserve">Sloan Burgess for </w:t>
            </w:r>
          </w:p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Rowan, Lynne</w:t>
            </w:r>
          </w:p>
        </w:tc>
        <w:tc>
          <w:tcPr>
            <w:tcW w:w="241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Wisdom, Sonya</w:t>
            </w:r>
          </w:p>
        </w:tc>
        <w:tc>
          <w:tcPr>
            <w:tcW w:w="2406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Turner, Steve</w:t>
            </w:r>
          </w:p>
        </w:tc>
      </w:tr>
      <w:tr w:rsidR="005D2B5A" w:rsidRPr="00FB3AF5" w:rsidTr="001F4B52">
        <w:tc>
          <w:tcPr>
            <w:tcW w:w="2414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Ravichandran, Swathi</w:t>
            </w:r>
          </w:p>
        </w:tc>
        <w:tc>
          <w:tcPr>
            <w:tcW w:w="234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Wagner, Laurie</w:t>
            </w:r>
          </w:p>
        </w:tc>
        <w:tc>
          <w:tcPr>
            <w:tcW w:w="2413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</w:p>
        </w:tc>
      </w:tr>
    </w:tbl>
    <w:p w:rsidR="005D2B5A" w:rsidRPr="00FB3AF5" w:rsidRDefault="005D2B5A" w:rsidP="005D2B5A">
      <w:pPr>
        <w:rPr>
          <w:sz w:val="18"/>
          <w:szCs w:val="18"/>
        </w:rPr>
      </w:pPr>
      <w:r w:rsidRPr="00FB3AF5">
        <w:rPr>
          <w:sz w:val="18"/>
          <w:szCs w:val="18"/>
        </w:rPr>
        <w:t>Catherine E. Hackney, Admin. Affairs; Nancy Miller, OGSS; Luci Wymer, Recorder</w:t>
      </w:r>
    </w:p>
    <w:p w:rsidR="005D2B5A" w:rsidRPr="00FB3AF5" w:rsidRDefault="005D2B5A" w:rsidP="005D2B5A">
      <w:pPr>
        <w:rPr>
          <w:sz w:val="18"/>
          <w:szCs w:val="18"/>
        </w:rPr>
      </w:pPr>
    </w:p>
    <w:p w:rsidR="005D2B5A" w:rsidRPr="00FB3AF5" w:rsidRDefault="005D2B5A" w:rsidP="005D2B5A">
      <w:pPr>
        <w:rPr>
          <w:sz w:val="18"/>
          <w:szCs w:val="18"/>
        </w:rPr>
      </w:pPr>
      <w:r w:rsidRPr="00FB3AF5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D2B5A" w:rsidRPr="00FB3AF5" w:rsidTr="001F4B52">
        <w:tc>
          <w:tcPr>
            <w:tcW w:w="2574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5D2B5A" w:rsidRPr="00FB3AF5" w:rsidRDefault="005D2B5A" w:rsidP="001F4B52">
            <w:pPr>
              <w:jc w:val="center"/>
              <w:rPr>
                <w:b/>
                <w:sz w:val="18"/>
                <w:szCs w:val="18"/>
              </w:rPr>
            </w:pPr>
            <w:r w:rsidRPr="00FB3AF5">
              <w:rPr>
                <w:b/>
                <w:sz w:val="18"/>
                <w:szCs w:val="18"/>
              </w:rPr>
              <w:t>TLC</w:t>
            </w:r>
          </w:p>
        </w:tc>
      </w:tr>
      <w:tr w:rsidR="005D2B5A" w:rsidRPr="00FB3AF5" w:rsidTr="001F4B52">
        <w:trPr>
          <w:trHeight w:val="233"/>
        </w:trPr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Burzminski, Nancy</w:t>
            </w:r>
          </w:p>
        </w:tc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McGlothlin, Jason (sabbatical)</w:t>
            </w:r>
          </w:p>
        </w:tc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Mitchell, Stephen</w:t>
            </w:r>
          </w:p>
        </w:tc>
      </w:tr>
      <w:tr w:rsidR="005D2B5A" w:rsidRPr="00FB3AF5" w:rsidTr="001F4B52"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5D2B5A" w:rsidRPr="00FB3AF5" w:rsidRDefault="005D2B5A" w:rsidP="001F4B52">
            <w:pPr>
              <w:rPr>
                <w:sz w:val="18"/>
                <w:szCs w:val="18"/>
              </w:rPr>
            </w:pPr>
            <w:r w:rsidRPr="00FB3AF5">
              <w:rPr>
                <w:sz w:val="18"/>
                <w:szCs w:val="18"/>
              </w:rPr>
              <w:t>Morgan Denise</w:t>
            </w:r>
          </w:p>
        </w:tc>
      </w:tr>
    </w:tbl>
    <w:p w:rsidR="005D2B5A" w:rsidRPr="00FB3AF5" w:rsidRDefault="005D2B5A" w:rsidP="005D2B5A">
      <w:pPr>
        <w:rPr>
          <w:sz w:val="18"/>
          <w:szCs w:val="18"/>
        </w:rPr>
      </w:pPr>
      <w:r w:rsidRPr="00FB3AF5">
        <w:rPr>
          <w:sz w:val="18"/>
          <w:szCs w:val="18"/>
        </w:rPr>
        <w:t>GUESTS:</w:t>
      </w:r>
      <w:r w:rsidR="00E45108" w:rsidRPr="00FB3AF5">
        <w:rPr>
          <w:sz w:val="18"/>
          <w:szCs w:val="18"/>
        </w:rPr>
        <w:t xml:space="preserve"> Michael </w:t>
      </w:r>
      <w:proofErr w:type="spellStart"/>
      <w:r w:rsidR="00E45108" w:rsidRPr="00FB3AF5">
        <w:rPr>
          <w:sz w:val="18"/>
          <w:szCs w:val="18"/>
        </w:rPr>
        <w:t>Pfahl</w:t>
      </w:r>
      <w:proofErr w:type="spellEnd"/>
      <w:r w:rsidR="00E45108" w:rsidRPr="00FB3AF5">
        <w:rPr>
          <w:sz w:val="18"/>
          <w:szCs w:val="18"/>
        </w:rPr>
        <w:t>, General Counsel;</w:t>
      </w:r>
      <w:r w:rsidRPr="00FB3AF5">
        <w:rPr>
          <w:sz w:val="18"/>
          <w:szCs w:val="18"/>
        </w:rPr>
        <w:t xml:space="preserve"> </w:t>
      </w:r>
      <w:r w:rsidR="008A24AB" w:rsidRPr="00FB3AF5">
        <w:rPr>
          <w:sz w:val="18"/>
          <w:szCs w:val="18"/>
        </w:rPr>
        <w:t xml:space="preserve">Susan Augustine, Academic </w:t>
      </w:r>
      <w:proofErr w:type="spellStart"/>
      <w:r w:rsidR="008A24AB" w:rsidRPr="00FB3AF5">
        <w:rPr>
          <w:sz w:val="18"/>
          <w:szCs w:val="18"/>
        </w:rPr>
        <w:t>Prog</w:t>
      </w:r>
      <w:proofErr w:type="spellEnd"/>
      <w:r w:rsidR="008A24AB" w:rsidRPr="00FB3AF5">
        <w:rPr>
          <w:sz w:val="18"/>
          <w:szCs w:val="18"/>
        </w:rPr>
        <w:t xml:space="preserve">. </w:t>
      </w:r>
      <w:proofErr w:type="spellStart"/>
      <w:proofErr w:type="gramStart"/>
      <w:r w:rsidR="008A24AB" w:rsidRPr="00FB3AF5">
        <w:rPr>
          <w:sz w:val="18"/>
          <w:szCs w:val="18"/>
        </w:rPr>
        <w:t>Coord</w:t>
      </w:r>
      <w:proofErr w:type="spellEnd"/>
      <w:r w:rsidR="008A24AB" w:rsidRPr="00FB3AF5">
        <w:rPr>
          <w:sz w:val="18"/>
          <w:szCs w:val="18"/>
        </w:rPr>
        <w:t>.;</w:t>
      </w:r>
      <w:proofErr w:type="gramEnd"/>
      <w:r w:rsidR="008A24AB" w:rsidRPr="00FB3AF5">
        <w:rPr>
          <w:sz w:val="18"/>
          <w:szCs w:val="18"/>
        </w:rPr>
        <w:t xml:space="preserve"> Deborah Shama-Davis, Research and Evaluation Bureau; Julie Wilcox, </w:t>
      </w:r>
      <w:proofErr w:type="spellStart"/>
      <w:r w:rsidR="008A24AB" w:rsidRPr="00FB3AF5">
        <w:rPr>
          <w:sz w:val="18"/>
          <w:szCs w:val="18"/>
        </w:rPr>
        <w:t>Acad</w:t>
      </w:r>
      <w:proofErr w:type="spellEnd"/>
      <w:r w:rsidR="008A24AB" w:rsidRPr="00FB3AF5">
        <w:rPr>
          <w:sz w:val="18"/>
          <w:szCs w:val="18"/>
        </w:rPr>
        <w:t xml:space="preserve"> Recruitment &amp; Retention Dir.; Rachel Foot and Tom Stafford, Distance Learning Support</w:t>
      </w:r>
    </w:p>
    <w:p w:rsidR="005D2B5A" w:rsidRPr="00FB3AF5" w:rsidRDefault="005D2B5A" w:rsidP="005D2B5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670"/>
        <w:gridCol w:w="2178"/>
      </w:tblGrid>
      <w:tr w:rsidR="00661B95" w:rsidRPr="00FB3AF5" w:rsidTr="00285CB0">
        <w:tc>
          <w:tcPr>
            <w:tcW w:w="2448" w:type="dxa"/>
          </w:tcPr>
          <w:p w:rsidR="00661B95" w:rsidRPr="00FB3AF5" w:rsidRDefault="00661B95" w:rsidP="00661B95">
            <w:pPr>
              <w:rPr>
                <w:b/>
              </w:rPr>
            </w:pPr>
            <w:r w:rsidRPr="00FB3AF5">
              <w:rPr>
                <w:b/>
              </w:rPr>
              <w:t>AGENDA ITEM</w:t>
            </w:r>
          </w:p>
        </w:tc>
        <w:tc>
          <w:tcPr>
            <w:tcW w:w="5670" w:type="dxa"/>
          </w:tcPr>
          <w:p w:rsidR="00661B95" w:rsidRPr="00FB3AF5" w:rsidRDefault="00661B95" w:rsidP="00661B95">
            <w:pPr>
              <w:jc w:val="center"/>
              <w:rPr>
                <w:b/>
              </w:rPr>
            </w:pPr>
            <w:r w:rsidRPr="00FB3AF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FB3AF5" w:rsidRDefault="00661B95" w:rsidP="00661B95">
            <w:pPr>
              <w:jc w:val="center"/>
              <w:rPr>
                <w:b/>
              </w:rPr>
            </w:pPr>
            <w:r w:rsidRPr="00FB3AF5">
              <w:rPr>
                <w:b/>
              </w:rPr>
              <w:t>ACTION TAKEN</w:t>
            </w:r>
          </w:p>
        </w:tc>
      </w:tr>
      <w:tr w:rsidR="00893B24" w:rsidRPr="00FB3AF5" w:rsidTr="00285CB0">
        <w:tc>
          <w:tcPr>
            <w:tcW w:w="2448" w:type="dxa"/>
          </w:tcPr>
          <w:p w:rsidR="00893B24" w:rsidRPr="00FB3AF5" w:rsidRDefault="00893B24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Mike Fall – University Counsel Student</w:t>
            </w:r>
          </w:p>
          <w:p w:rsidR="00893B24" w:rsidRPr="00FB3AF5" w:rsidRDefault="00893B24" w:rsidP="00661B95">
            <w:pPr>
              <w:rPr>
                <w:b/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Background Checks</w:t>
            </w:r>
          </w:p>
        </w:tc>
        <w:tc>
          <w:tcPr>
            <w:tcW w:w="5670" w:type="dxa"/>
          </w:tcPr>
          <w:p w:rsidR="00BE3610" w:rsidRPr="00FB3AF5" w:rsidRDefault="00893B24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Agreements – </w:t>
            </w:r>
            <w:r w:rsidR="0046299D" w:rsidRPr="00FB3AF5">
              <w:rPr>
                <w:sz w:val="20"/>
                <w:szCs w:val="20"/>
              </w:rPr>
              <w:t xml:space="preserve">Mike requested </w:t>
            </w:r>
            <w:r w:rsidRPr="00FB3AF5">
              <w:rPr>
                <w:sz w:val="20"/>
                <w:szCs w:val="20"/>
              </w:rPr>
              <w:t>that everyone send</w:t>
            </w:r>
            <w:r w:rsidR="0042113A" w:rsidRPr="00FB3AF5">
              <w:rPr>
                <w:sz w:val="20"/>
                <w:szCs w:val="20"/>
              </w:rPr>
              <w:t xml:space="preserve"> their</w:t>
            </w:r>
            <w:r w:rsidRPr="00FB3AF5">
              <w:rPr>
                <w:sz w:val="20"/>
                <w:szCs w:val="20"/>
              </w:rPr>
              <w:t xml:space="preserve"> agreements with the schools</w:t>
            </w:r>
            <w:r w:rsidR="00DF0FAF" w:rsidRPr="00FB3AF5">
              <w:rPr>
                <w:sz w:val="20"/>
                <w:szCs w:val="20"/>
              </w:rPr>
              <w:t xml:space="preserve"> and/or agencies/organizations</w:t>
            </w:r>
            <w:r w:rsidRPr="00FB3AF5">
              <w:rPr>
                <w:sz w:val="20"/>
                <w:szCs w:val="20"/>
              </w:rPr>
              <w:t xml:space="preserve"> to him for review with </w:t>
            </w:r>
            <w:r w:rsidR="0042113A" w:rsidRPr="00FB3AF5">
              <w:rPr>
                <w:sz w:val="20"/>
                <w:szCs w:val="20"/>
              </w:rPr>
              <w:t xml:space="preserve">the subject line as:  </w:t>
            </w:r>
            <w:r w:rsidR="0046299D" w:rsidRPr="00FB3AF5">
              <w:rPr>
                <w:sz w:val="20"/>
                <w:szCs w:val="20"/>
              </w:rPr>
              <w:t>EHHS-</w:t>
            </w:r>
            <w:r w:rsidRPr="00FB3AF5">
              <w:rPr>
                <w:sz w:val="20"/>
                <w:szCs w:val="20"/>
              </w:rPr>
              <w:t xml:space="preserve"> program name.  </w:t>
            </w:r>
            <w:r w:rsidR="0046299D" w:rsidRPr="00FB3AF5">
              <w:rPr>
                <w:sz w:val="20"/>
                <w:szCs w:val="20"/>
              </w:rPr>
              <w:t>H</w:t>
            </w:r>
            <w:r w:rsidRPr="00FB3AF5">
              <w:rPr>
                <w:sz w:val="20"/>
                <w:szCs w:val="20"/>
              </w:rPr>
              <w:t xml:space="preserve">e shared the laws have changed </w:t>
            </w:r>
            <w:r w:rsidR="0046299D" w:rsidRPr="00FB3AF5">
              <w:rPr>
                <w:sz w:val="20"/>
                <w:szCs w:val="20"/>
              </w:rPr>
              <w:t>substantially</w:t>
            </w:r>
            <w:r w:rsidRPr="00FB3AF5">
              <w:rPr>
                <w:sz w:val="20"/>
                <w:szCs w:val="20"/>
              </w:rPr>
              <w:t xml:space="preserve"> </w:t>
            </w:r>
            <w:r w:rsidR="0046299D" w:rsidRPr="00FB3AF5">
              <w:rPr>
                <w:sz w:val="20"/>
                <w:szCs w:val="20"/>
              </w:rPr>
              <w:t>in</w:t>
            </w:r>
            <w:r w:rsidR="005D5673" w:rsidRPr="00FB3AF5">
              <w:rPr>
                <w:sz w:val="20"/>
                <w:szCs w:val="20"/>
              </w:rPr>
              <w:t xml:space="preserve"> t</w:t>
            </w:r>
            <w:r w:rsidRPr="00FB3AF5">
              <w:rPr>
                <w:sz w:val="20"/>
                <w:szCs w:val="20"/>
              </w:rPr>
              <w:t>he last 7 years</w:t>
            </w:r>
            <w:r w:rsidR="0046299D" w:rsidRPr="00FB3AF5">
              <w:rPr>
                <w:sz w:val="20"/>
                <w:szCs w:val="20"/>
              </w:rPr>
              <w:t xml:space="preserve">. </w:t>
            </w:r>
            <w:r w:rsidR="005D5673" w:rsidRPr="00FB3AF5">
              <w:rPr>
                <w:sz w:val="20"/>
                <w:szCs w:val="20"/>
              </w:rPr>
              <w:t>Dr. Hackney asked that everyone send their agreements to him just to make sure they are compliant. (</w:t>
            </w:r>
            <w:hyperlink r:id="rId8" w:history="1">
              <w:r w:rsidR="005D5673" w:rsidRPr="00FB3AF5">
                <w:rPr>
                  <w:rStyle w:val="Hyperlink"/>
                  <w:sz w:val="20"/>
                  <w:szCs w:val="20"/>
                </w:rPr>
                <w:t>contracts@kent.edu</w:t>
              </w:r>
            </w:hyperlink>
            <w:r w:rsidR="00EC5B05" w:rsidRPr="00FB3AF5">
              <w:rPr>
                <w:sz w:val="20"/>
                <w:szCs w:val="20"/>
              </w:rPr>
              <w:t xml:space="preserve"> with EHHS-Program area as the subject line</w:t>
            </w:r>
            <w:r w:rsidR="005D5673" w:rsidRPr="00FB3AF5">
              <w:rPr>
                <w:sz w:val="20"/>
                <w:szCs w:val="20"/>
              </w:rPr>
              <w:t xml:space="preserve">)  He is mainly concerned with the substantive portions of the </w:t>
            </w:r>
            <w:r w:rsidR="00E334C0" w:rsidRPr="00FB3AF5">
              <w:rPr>
                <w:sz w:val="20"/>
                <w:szCs w:val="20"/>
              </w:rPr>
              <w:t>agreements and</w:t>
            </w:r>
            <w:r w:rsidR="005D5673" w:rsidRPr="00FB3AF5">
              <w:rPr>
                <w:sz w:val="20"/>
                <w:szCs w:val="20"/>
              </w:rPr>
              <w:t xml:space="preserve"> not those portions particular to a program.</w:t>
            </w:r>
          </w:p>
          <w:p w:rsidR="00BE3610" w:rsidRPr="00FB3AF5" w:rsidRDefault="00BE3610" w:rsidP="00661B95">
            <w:pPr>
              <w:rPr>
                <w:sz w:val="20"/>
                <w:szCs w:val="20"/>
              </w:rPr>
            </w:pPr>
          </w:p>
          <w:p w:rsidR="005C4E3D" w:rsidRPr="00FB3AF5" w:rsidRDefault="005C4E3D" w:rsidP="005C4E3D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Here are Mike’s words:</w:t>
            </w:r>
          </w:p>
          <w:p w:rsidR="005C4E3D" w:rsidRPr="00FB3AF5" w:rsidRDefault="005C4E3D" w:rsidP="00E45108">
            <w:pPr>
              <w:pStyle w:val="NormalWeb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AF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An agreement whose main purpose is to establish a formal relationship between the University and an outside entity should be signed by the Provost. An agreement that is for the placement of a specific student in the program within the College, or is for a brief amount of time (semester or less), can be signed by the Dean.</w:t>
            </w:r>
          </w:p>
          <w:p w:rsidR="005C4E3D" w:rsidRPr="00FB3AF5" w:rsidRDefault="005C4E3D" w:rsidP="00E45108">
            <w:pPr>
              <w:pStyle w:val="NormalWeb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  <w:p w:rsidR="005C4E3D" w:rsidRPr="00FB3AF5" w:rsidRDefault="005C4E3D" w:rsidP="00E45108">
            <w:pPr>
              <w:pStyle w:val="NormalWeb"/>
              <w:rPr>
                <w:sz w:val="20"/>
                <w:szCs w:val="20"/>
              </w:rPr>
            </w:pPr>
            <w:r w:rsidRPr="00FB3AF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This, however, is just what I believe to be correct right now. However, I will clarify with the Provost and then the Dean. Your College is unique in this respect as you have so many moving parts and agreements.</w:t>
            </w:r>
          </w:p>
          <w:p w:rsidR="005C4E3D" w:rsidRPr="00FB3AF5" w:rsidRDefault="005C4E3D" w:rsidP="00661B95">
            <w:pPr>
              <w:rPr>
                <w:sz w:val="20"/>
                <w:szCs w:val="20"/>
              </w:rPr>
            </w:pPr>
          </w:p>
          <w:p w:rsidR="00893B24" w:rsidRPr="00FB3AF5" w:rsidRDefault="00BE3610" w:rsidP="00ED7E2C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If a student is going to </w:t>
            </w:r>
            <w:r w:rsidR="00DF0FAF" w:rsidRPr="00FB3AF5">
              <w:rPr>
                <w:sz w:val="20"/>
                <w:szCs w:val="20"/>
              </w:rPr>
              <w:t>an institution</w:t>
            </w:r>
            <w:r w:rsidRPr="00FB3AF5">
              <w:rPr>
                <w:sz w:val="20"/>
                <w:szCs w:val="20"/>
              </w:rPr>
              <w:t xml:space="preserve"> as part of a formal program the</w:t>
            </w:r>
            <w:r w:rsidR="00ED7E2C" w:rsidRPr="00FB3AF5">
              <w:rPr>
                <w:sz w:val="20"/>
                <w:szCs w:val="20"/>
              </w:rPr>
              <w:t xml:space="preserve"> program</w:t>
            </w:r>
            <w:r w:rsidRPr="00FB3AF5">
              <w:rPr>
                <w:sz w:val="20"/>
                <w:szCs w:val="20"/>
              </w:rPr>
              <w:t xml:space="preserve"> should have a formal agreement with that institution.  </w:t>
            </w:r>
          </w:p>
          <w:p w:rsidR="00E334C0" w:rsidRPr="00FB3AF5" w:rsidRDefault="00E334C0" w:rsidP="00ED7E2C">
            <w:pPr>
              <w:rPr>
                <w:sz w:val="20"/>
                <w:szCs w:val="20"/>
              </w:rPr>
            </w:pPr>
          </w:p>
          <w:p w:rsidR="006D30B3" w:rsidRPr="00FB3AF5" w:rsidRDefault="005C4E3D" w:rsidP="00E334C0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Mike asked the group </w:t>
            </w:r>
            <w:r w:rsidR="00E334C0" w:rsidRPr="00FB3AF5">
              <w:rPr>
                <w:sz w:val="20"/>
                <w:szCs w:val="20"/>
              </w:rPr>
              <w:t xml:space="preserve">if programs assure in their agreements that students have </w:t>
            </w:r>
            <w:r w:rsidR="003F7EF6" w:rsidRPr="00FB3AF5">
              <w:rPr>
                <w:sz w:val="20"/>
                <w:szCs w:val="20"/>
              </w:rPr>
              <w:t>p</w:t>
            </w:r>
            <w:r w:rsidR="00E334C0" w:rsidRPr="00FB3AF5">
              <w:rPr>
                <w:sz w:val="20"/>
                <w:szCs w:val="20"/>
              </w:rPr>
              <w:t xml:space="preserve">assed a background check.  </w:t>
            </w:r>
            <w:r w:rsidRPr="00FB3AF5">
              <w:rPr>
                <w:sz w:val="20"/>
                <w:szCs w:val="20"/>
              </w:rPr>
              <w:t>He stated t</w:t>
            </w:r>
            <w:r w:rsidR="00E334C0" w:rsidRPr="00FB3AF5">
              <w:rPr>
                <w:sz w:val="20"/>
                <w:szCs w:val="20"/>
              </w:rPr>
              <w:t xml:space="preserve">he background checks should be evaluated by the school or agency to </w:t>
            </w:r>
            <w:r w:rsidR="00E334C0" w:rsidRPr="00FB3AF5">
              <w:rPr>
                <w:sz w:val="20"/>
                <w:szCs w:val="20"/>
              </w:rPr>
              <w:lastRenderedPageBreak/>
              <w:t xml:space="preserve">make sure the student </w:t>
            </w:r>
            <w:r w:rsidR="00227AC1" w:rsidRPr="00FB3AF5">
              <w:rPr>
                <w:sz w:val="20"/>
                <w:szCs w:val="20"/>
              </w:rPr>
              <w:t xml:space="preserve">meets their requirements.  </w:t>
            </w:r>
            <w:r w:rsidR="003F7EF6" w:rsidRPr="00FB3AF5">
              <w:rPr>
                <w:sz w:val="20"/>
                <w:szCs w:val="20"/>
              </w:rPr>
              <w:t>W</w:t>
            </w:r>
            <w:r w:rsidR="006C29B8" w:rsidRPr="00FB3AF5">
              <w:rPr>
                <w:sz w:val="20"/>
                <w:szCs w:val="20"/>
              </w:rPr>
              <w:t>hen the university starts making judgments on non-academic issues it becomes difficult.  Many programs would make different determinations on the same issue. He explained that for this reason they prefer the site make the determination</w:t>
            </w:r>
            <w:r w:rsidR="00DF0862" w:rsidRPr="00FB3AF5">
              <w:rPr>
                <w:sz w:val="20"/>
                <w:szCs w:val="20"/>
              </w:rPr>
              <w:t xml:space="preserve"> as to whether or not the student meets their standards</w:t>
            </w:r>
            <w:r w:rsidR="006C29B8" w:rsidRPr="00FB3AF5">
              <w:rPr>
                <w:sz w:val="20"/>
                <w:szCs w:val="20"/>
              </w:rPr>
              <w:t xml:space="preserve">.  </w:t>
            </w:r>
            <w:r w:rsidR="00DF0862" w:rsidRPr="00FB3AF5">
              <w:rPr>
                <w:sz w:val="20"/>
                <w:szCs w:val="20"/>
              </w:rPr>
              <w:t xml:space="preserve">If the program requires a background check they should be informing the student as to what the background check is being used for.  </w:t>
            </w:r>
            <w:r w:rsidR="006D30B3" w:rsidRPr="00FB3AF5">
              <w:rPr>
                <w:sz w:val="20"/>
                <w:szCs w:val="20"/>
              </w:rPr>
              <w:t xml:space="preserve">Need to make sure that the school directors </w:t>
            </w:r>
            <w:r w:rsidR="00DF0FAF" w:rsidRPr="00FB3AF5">
              <w:rPr>
                <w:sz w:val="20"/>
                <w:szCs w:val="20"/>
              </w:rPr>
              <w:t xml:space="preserve">– or the dean in the case of larger, more significant agreements- </w:t>
            </w:r>
            <w:r w:rsidR="006D30B3" w:rsidRPr="00FB3AF5">
              <w:rPr>
                <w:sz w:val="20"/>
                <w:szCs w:val="20"/>
              </w:rPr>
              <w:t xml:space="preserve">are signing the agreements.  </w:t>
            </w:r>
          </w:p>
          <w:p w:rsidR="00DF0862" w:rsidRPr="00FB3AF5" w:rsidRDefault="00DF0862" w:rsidP="00E334C0">
            <w:pPr>
              <w:rPr>
                <w:sz w:val="20"/>
                <w:szCs w:val="20"/>
              </w:rPr>
            </w:pPr>
          </w:p>
          <w:p w:rsidR="005C4E52" w:rsidRPr="00FB3AF5" w:rsidRDefault="008524A2" w:rsidP="00E334C0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If a site is asking for KSU to vouch for a student that has not yet gotten their background check Mike advise</w:t>
            </w:r>
            <w:r w:rsidR="005C4E52" w:rsidRPr="00FB3AF5">
              <w:rPr>
                <w:sz w:val="20"/>
                <w:szCs w:val="20"/>
              </w:rPr>
              <w:t>d</w:t>
            </w:r>
            <w:r w:rsidRPr="00FB3AF5">
              <w:rPr>
                <w:sz w:val="20"/>
                <w:szCs w:val="20"/>
              </w:rPr>
              <w:t xml:space="preserve"> that a letter be provided</w:t>
            </w:r>
            <w:r w:rsidR="005C4E52" w:rsidRPr="00FB3AF5">
              <w:rPr>
                <w:sz w:val="20"/>
                <w:szCs w:val="20"/>
              </w:rPr>
              <w:t xml:space="preserve"> stating only</w:t>
            </w:r>
            <w:r w:rsidRPr="00FB3AF5">
              <w:rPr>
                <w:sz w:val="20"/>
                <w:szCs w:val="20"/>
              </w:rPr>
              <w:t xml:space="preserve"> that they are a student in good standing with the university.  </w:t>
            </w:r>
          </w:p>
          <w:p w:rsidR="005C4E52" w:rsidRPr="00FB3AF5" w:rsidRDefault="005C4E52" w:rsidP="00E334C0">
            <w:pPr>
              <w:rPr>
                <w:sz w:val="20"/>
                <w:szCs w:val="20"/>
              </w:rPr>
            </w:pPr>
          </w:p>
          <w:p w:rsidR="008524A2" w:rsidRPr="00FB3AF5" w:rsidRDefault="00823D18" w:rsidP="00E334C0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He also shared legal is now putting policy, legislation and other changes in the </w:t>
            </w:r>
            <w:r w:rsidR="005C4E52" w:rsidRPr="00FB3AF5">
              <w:rPr>
                <w:sz w:val="20"/>
                <w:szCs w:val="20"/>
              </w:rPr>
              <w:t xml:space="preserve">e-inside </w:t>
            </w:r>
            <w:r w:rsidRPr="00FB3AF5">
              <w:rPr>
                <w:sz w:val="20"/>
                <w:szCs w:val="20"/>
              </w:rPr>
              <w:t>newsletter to notify the campus.</w:t>
            </w:r>
          </w:p>
          <w:p w:rsidR="005612BE" w:rsidRPr="00FB3AF5" w:rsidRDefault="005612BE" w:rsidP="00E334C0">
            <w:pPr>
              <w:rPr>
                <w:sz w:val="20"/>
                <w:szCs w:val="20"/>
              </w:rPr>
            </w:pPr>
          </w:p>
          <w:p w:rsidR="005612BE" w:rsidRPr="00FB3AF5" w:rsidRDefault="005612BE" w:rsidP="00E334C0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Legal is working on a blanket waiver regarding students and will be discussed in e-inside</w:t>
            </w:r>
          </w:p>
        </w:tc>
        <w:tc>
          <w:tcPr>
            <w:tcW w:w="2178" w:type="dxa"/>
          </w:tcPr>
          <w:p w:rsidR="00893B24" w:rsidRPr="00FB3AF5" w:rsidRDefault="00893B24" w:rsidP="00661B95">
            <w:pPr>
              <w:rPr>
                <w:sz w:val="20"/>
                <w:szCs w:val="20"/>
              </w:rPr>
            </w:pPr>
          </w:p>
        </w:tc>
      </w:tr>
      <w:tr w:rsidR="00535FE8" w:rsidRPr="00FB3AF5" w:rsidTr="00285CB0">
        <w:tc>
          <w:tcPr>
            <w:tcW w:w="2448" w:type="dxa"/>
          </w:tcPr>
          <w:p w:rsidR="00535FE8" w:rsidRPr="00FB3AF5" w:rsidRDefault="00535FE8" w:rsidP="00661B95">
            <w:pPr>
              <w:rPr>
                <w:b/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</w:rPr>
              <w:lastRenderedPageBreak/>
              <w:t>PART I</w:t>
            </w:r>
          </w:p>
        </w:tc>
        <w:tc>
          <w:tcPr>
            <w:tcW w:w="5670" w:type="dxa"/>
          </w:tcPr>
          <w:p w:rsidR="00535FE8" w:rsidRPr="00FB3AF5" w:rsidRDefault="00535FE8" w:rsidP="00661B95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535FE8" w:rsidRPr="00FB3AF5" w:rsidRDefault="00535FE8" w:rsidP="00661B95">
            <w:pPr>
              <w:rPr>
                <w:sz w:val="20"/>
                <w:szCs w:val="20"/>
              </w:rPr>
            </w:pPr>
          </w:p>
        </w:tc>
      </w:tr>
      <w:tr w:rsidR="00661B95" w:rsidRPr="00FB3AF5" w:rsidTr="00285CB0">
        <w:tc>
          <w:tcPr>
            <w:tcW w:w="2448" w:type="dxa"/>
          </w:tcPr>
          <w:p w:rsidR="00661B95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Information:</w:t>
            </w:r>
          </w:p>
          <w:p w:rsidR="006C0478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   -Susan Augustine</w:t>
            </w:r>
          </w:p>
          <w:p w:rsidR="006C0478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   -Rachel Foot, Tom Stafford and Dr. </w:t>
            </w:r>
            <w:r w:rsidR="00F37541" w:rsidRPr="00FB3AF5">
              <w:rPr>
                <w:sz w:val="20"/>
                <w:szCs w:val="20"/>
              </w:rPr>
              <w:t>Gornik</w:t>
            </w:r>
            <w:r w:rsidRPr="00FB3AF5">
              <w:rPr>
                <w:sz w:val="20"/>
                <w:szCs w:val="20"/>
              </w:rPr>
              <w:t>:  Online &amp; Distance Learning</w:t>
            </w:r>
          </w:p>
          <w:p w:rsidR="006C0478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    -Dr. Shama-Davis – Research </w:t>
            </w:r>
          </w:p>
          <w:p w:rsidR="006C0478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    -Julie Wilcox - Scholarships</w:t>
            </w:r>
          </w:p>
        </w:tc>
        <w:tc>
          <w:tcPr>
            <w:tcW w:w="5670" w:type="dxa"/>
          </w:tcPr>
          <w:p w:rsidR="00C23C81" w:rsidRPr="00FB3AF5" w:rsidRDefault="00350162" w:rsidP="00661B95">
            <w:pPr>
              <w:rPr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  <w:u w:val="single"/>
              </w:rPr>
              <w:t>Susan</w:t>
            </w:r>
            <w:r w:rsidRPr="00FB3AF5">
              <w:rPr>
                <w:sz w:val="20"/>
                <w:szCs w:val="20"/>
              </w:rPr>
              <w:t xml:space="preserve"> </w:t>
            </w:r>
            <w:r w:rsidR="00C23C81" w:rsidRPr="00FB3AF5">
              <w:rPr>
                <w:sz w:val="20"/>
                <w:szCs w:val="20"/>
              </w:rPr>
              <w:t>–</w:t>
            </w:r>
            <w:r w:rsidRPr="00FB3AF5">
              <w:rPr>
                <w:sz w:val="20"/>
                <w:szCs w:val="20"/>
              </w:rPr>
              <w:t xml:space="preserve"> </w:t>
            </w:r>
          </w:p>
          <w:p w:rsidR="00893B24" w:rsidRPr="00FB3AF5" w:rsidRDefault="00C23C81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Gave the group an overview of the CurriUNET system along with a list of training courses available. </w:t>
            </w:r>
            <w:r w:rsidR="00350162" w:rsidRPr="00FB3AF5">
              <w:rPr>
                <w:sz w:val="20"/>
                <w:szCs w:val="20"/>
              </w:rPr>
              <w:t xml:space="preserve"> </w:t>
            </w:r>
            <w:r w:rsidRPr="00FB3AF5">
              <w:rPr>
                <w:sz w:val="20"/>
                <w:szCs w:val="20"/>
              </w:rPr>
              <w:t>E</w:t>
            </w:r>
            <w:r w:rsidR="00350162" w:rsidRPr="00FB3AF5">
              <w:rPr>
                <w:sz w:val="20"/>
                <w:szCs w:val="20"/>
              </w:rPr>
              <w:t xml:space="preserve">veryone needs to attend the </w:t>
            </w:r>
            <w:r w:rsidR="00F37541" w:rsidRPr="00FB3AF5">
              <w:rPr>
                <w:sz w:val="20"/>
                <w:szCs w:val="20"/>
              </w:rPr>
              <w:t>CurriUNET</w:t>
            </w:r>
            <w:r w:rsidR="00350162" w:rsidRPr="00FB3AF5">
              <w:rPr>
                <w:sz w:val="20"/>
                <w:szCs w:val="20"/>
              </w:rPr>
              <w:t xml:space="preserve"> training prior to being permitted to use the system. </w:t>
            </w:r>
          </w:p>
          <w:p w:rsidR="00C23C81" w:rsidRPr="00FB3AF5" w:rsidRDefault="00C23C81" w:rsidP="00661B95">
            <w:pPr>
              <w:rPr>
                <w:sz w:val="20"/>
                <w:szCs w:val="20"/>
              </w:rPr>
            </w:pPr>
          </w:p>
          <w:p w:rsidR="00893B24" w:rsidRPr="00FB3AF5" w:rsidRDefault="00C23C81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She also pointed out to the group that </w:t>
            </w:r>
            <w:r w:rsidR="00893B24" w:rsidRPr="00FB3AF5">
              <w:rPr>
                <w:sz w:val="20"/>
                <w:szCs w:val="20"/>
              </w:rPr>
              <w:t xml:space="preserve">graduate deadlines for curriculum are earlier this year.  </w:t>
            </w:r>
          </w:p>
          <w:p w:rsidR="00D10B84" w:rsidRPr="00FB3AF5" w:rsidRDefault="00D10B84" w:rsidP="00661B95">
            <w:pPr>
              <w:rPr>
                <w:sz w:val="20"/>
                <w:szCs w:val="20"/>
              </w:rPr>
            </w:pPr>
          </w:p>
          <w:p w:rsidR="00404574" w:rsidRPr="00FB3AF5" w:rsidRDefault="00404574" w:rsidP="00661B95">
            <w:pPr>
              <w:rPr>
                <w:b/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  <w:u w:val="single"/>
              </w:rPr>
              <w:t>Julie Wilcox</w:t>
            </w:r>
            <w:r w:rsidRPr="00FB3AF5">
              <w:rPr>
                <w:b/>
                <w:sz w:val="20"/>
                <w:szCs w:val="20"/>
              </w:rPr>
              <w:t>:</w:t>
            </w:r>
          </w:p>
          <w:p w:rsidR="00D10B84" w:rsidRPr="00FB3AF5" w:rsidRDefault="00D10B84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Julie Wilcox shared that foundations has </w:t>
            </w:r>
            <w:r w:rsidR="00CE4D68" w:rsidRPr="00FB3AF5">
              <w:rPr>
                <w:sz w:val="20"/>
                <w:szCs w:val="20"/>
              </w:rPr>
              <w:t>reported to her</w:t>
            </w:r>
            <w:r w:rsidRPr="00FB3AF5">
              <w:rPr>
                <w:sz w:val="20"/>
                <w:szCs w:val="20"/>
              </w:rPr>
              <w:t xml:space="preserve"> that there is </w:t>
            </w:r>
            <w:r w:rsidR="00DF0FAF" w:rsidRPr="00FB3AF5">
              <w:rPr>
                <w:sz w:val="20"/>
                <w:szCs w:val="20"/>
              </w:rPr>
              <w:t xml:space="preserve">a sum of </w:t>
            </w:r>
            <w:r w:rsidR="00CE4D68" w:rsidRPr="00FB3AF5">
              <w:rPr>
                <w:sz w:val="20"/>
                <w:szCs w:val="20"/>
              </w:rPr>
              <w:t>$</w:t>
            </w:r>
            <w:r w:rsidRPr="00FB3AF5">
              <w:rPr>
                <w:sz w:val="20"/>
                <w:szCs w:val="20"/>
              </w:rPr>
              <w:t>900</w:t>
            </w:r>
            <w:r w:rsidR="00CE4D68" w:rsidRPr="00FB3AF5">
              <w:rPr>
                <w:sz w:val="20"/>
                <w:szCs w:val="20"/>
              </w:rPr>
              <w:t>,000</w:t>
            </w:r>
            <w:r w:rsidRPr="00FB3AF5">
              <w:rPr>
                <w:sz w:val="20"/>
                <w:szCs w:val="20"/>
              </w:rPr>
              <w:t xml:space="preserve"> in scholarship funds available to EHHS.  She will be sending a list to faculty </w:t>
            </w:r>
            <w:r w:rsidR="00CE4D68" w:rsidRPr="00FB3AF5">
              <w:rPr>
                <w:sz w:val="20"/>
                <w:szCs w:val="20"/>
              </w:rPr>
              <w:t xml:space="preserve">of scholarships </w:t>
            </w:r>
            <w:r w:rsidRPr="00FB3AF5">
              <w:rPr>
                <w:sz w:val="20"/>
                <w:szCs w:val="20"/>
              </w:rPr>
              <w:t>available to their individual program’s students.  She is willing to meet with the programs individually to ensure that how the money is made available to student</w:t>
            </w:r>
            <w:r w:rsidR="00CE4D68" w:rsidRPr="00FB3AF5">
              <w:rPr>
                <w:sz w:val="20"/>
                <w:szCs w:val="20"/>
              </w:rPr>
              <w:t>s is</w:t>
            </w:r>
            <w:r w:rsidRPr="00FB3AF5">
              <w:rPr>
                <w:sz w:val="20"/>
                <w:szCs w:val="20"/>
              </w:rPr>
              <w:t xml:space="preserve"> fair and equitabl</w:t>
            </w:r>
            <w:r w:rsidR="00CE4D68" w:rsidRPr="00FB3AF5">
              <w:rPr>
                <w:sz w:val="20"/>
                <w:szCs w:val="20"/>
              </w:rPr>
              <w:t>e</w:t>
            </w:r>
            <w:r w:rsidRPr="00FB3AF5">
              <w:rPr>
                <w:sz w:val="20"/>
                <w:szCs w:val="20"/>
              </w:rPr>
              <w:t xml:space="preserve">.  She is trying to develop an online application.  She will be advertising these on our website and the financial aid website.  There is also a </w:t>
            </w:r>
            <w:r w:rsidR="00CE4D68" w:rsidRPr="00FB3AF5">
              <w:rPr>
                <w:sz w:val="20"/>
                <w:szCs w:val="20"/>
              </w:rPr>
              <w:t>Facebook</w:t>
            </w:r>
            <w:r w:rsidRPr="00FB3AF5">
              <w:rPr>
                <w:sz w:val="20"/>
                <w:szCs w:val="20"/>
              </w:rPr>
              <w:t xml:space="preserve"> page</w:t>
            </w:r>
            <w:r w:rsidR="00CE4D68" w:rsidRPr="00FB3AF5">
              <w:rPr>
                <w:sz w:val="20"/>
                <w:szCs w:val="20"/>
              </w:rPr>
              <w:t xml:space="preserve"> and</w:t>
            </w:r>
            <w:r w:rsidRPr="00FB3AF5">
              <w:rPr>
                <w:sz w:val="20"/>
                <w:szCs w:val="20"/>
              </w:rPr>
              <w:t xml:space="preserve"> they will be posted on th</w:t>
            </w:r>
            <w:r w:rsidR="00CE4D68" w:rsidRPr="00FB3AF5">
              <w:rPr>
                <w:sz w:val="20"/>
                <w:szCs w:val="20"/>
              </w:rPr>
              <w:t xml:space="preserve">e VACCA blackboard.  </w:t>
            </w:r>
            <w:r w:rsidR="00F43ABC" w:rsidRPr="00FB3AF5">
              <w:rPr>
                <w:sz w:val="20"/>
                <w:szCs w:val="20"/>
              </w:rPr>
              <w:t>Deadlines for application submission are</w:t>
            </w:r>
            <w:r w:rsidR="00CE4D68" w:rsidRPr="00FB3AF5">
              <w:rPr>
                <w:sz w:val="20"/>
                <w:szCs w:val="20"/>
              </w:rPr>
              <w:t xml:space="preserve"> No</w:t>
            </w:r>
            <w:r w:rsidRPr="00FB3AF5">
              <w:rPr>
                <w:sz w:val="20"/>
                <w:szCs w:val="20"/>
              </w:rPr>
              <w:t>v</w:t>
            </w:r>
            <w:r w:rsidR="00CE4D68" w:rsidRPr="00FB3AF5">
              <w:rPr>
                <w:sz w:val="20"/>
                <w:szCs w:val="20"/>
              </w:rPr>
              <w:t>ember 1 for s</w:t>
            </w:r>
            <w:r w:rsidRPr="00FB3AF5">
              <w:rPr>
                <w:sz w:val="20"/>
                <w:szCs w:val="20"/>
              </w:rPr>
              <w:t>pring</w:t>
            </w:r>
            <w:r w:rsidR="00CE4D68" w:rsidRPr="00FB3AF5">
              <w:rPr>
                <w:sz w:val="20"/>
                <w:szCs w:val="20"/>
              </w:rPr>
              <w:t xml:space="preserve"> awards </w:t>
            </w:r>
            <w:r w:rsidR="00F43ABC" w:rsidRPr="00FB3AF5">
              <w:rPr>
                <w:sz w:val="20"/>
                <w:szCs w:val="20"/>
              </w:rPr>
              <w:t>and February</w:t>
            </w:r>
            <w:r w:rsidRPr="00FB3AF5">
              <w:rPr>
                <w:sz w:val="20"/>
                <w:szCs w:val="20"/>
              </w:rPr>
              <w:t xml:space="preserve"> 1 for fall scholarships.  </w:t>
            </w:r>
          </w:p>
          <w:p w:rsidR="00D10B84" w:rsidRPr="00FB3AF5" w:rsidRDefault="00D10B84" w:rsidP="00661B95">
            <w:pPr>
              <w:rPr>
                <w:sz w:val="20"/>
                <w:szCs w:val="20"/>
              </w:rPr>
            </w:pPr>
          </w:p>
          <w:p w:rsidR="004D5E73" w:rsidRPr="00FB3AF5" w:rsidRDefault="00D10B84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They are reviewing the individual scholarships and the MOUs that are in place.  </w:t>
            </w:r>
            <w:r w:rsidR="004D5E73" w:rsidRPr="00FB3AF5">
              <w:rPr>
                <w:sz w:val="20"/>
                <w:szCs w:val="20"/>
              </w:rPr>
              <w:t>Awards are made based on</w:t>
            </w:r>
            <w:r w:rsidR="00F43ABC" w:rsidRPr="00FB3AF5">
              <w:rPr>
                <w:sz w:val="20"/>
                <w:szCs w:val="20"/>
              </w:rPr>
              <w:t xml:space="preserve"> a percentage of</w:t>
            </w:r>
            <w:r w:rsidR="004D5E73" w:rsidRPr="00FB3AF5">
              <w:rPr>
                <w:sz w:val="20"/>
                <w:szCs w:val="20"/>
              </w:rPr>
              <w:t xml:space="preserve"> the fund balance.  The awards are made for future semesters </w:t>
            </w:r>
            <w:r w:rsidR="00F43ABC" w:rsidRPr="00FB3AF5">
              <w:rPr>
                <w:sz w:val="20"/>
                <w:szCs w:val="20"/>
              </w:rPr>
              <w:t xml:space="preserve">in which </w:t>
            </w:r>
            <w:r w:rsidR="004D5E73" w:rsidRPr="00FB3AF5">
              <w:rPr>
                <w:sz w:val="20"/>
                <w:szCs w:val="20"/>
              </w:rPr>
              <w:t>the student is enrolled.  There will be an exception process for a student being awarded retroactive funds.</w:t>
            </w:r>
            <w:r w:rsidR="0071566C" w:rsidRPr="00FB3AF5">
              <w:rPr>
                <w:sz w:val="20"/>
                <w:szCs w:val="20"/>
              </w:rPr>
              <w:t xml:space="preserve">  They are also putting a checks and balance</w:t>
            </w:r>
            <w:r w:rsidR="00F43ABC" w:rsidRPr="00FB3AF5">
              <w:rPr>
                <w:sz w:val="20"/>
                <w:szCs w:val="20"/>
              </w:rPr>
              <w:t xml:space="preserve"> system</w:t>
            </w:r>
            <w:r w:rsidR="0071566C" w:rsidRPr="00FB3AF5">
              <w:rPr>
                <w:sz w:val="20"/>
                <w:szCs w:val="20"/>
              </w:rPr>
              <w:t xml:space="preserve"> in place for scholarships awarded and not used by a student for one reason or another.  </w:t>
            </w:r>
          </w:p>
          <w:p w:rsidR="009C0BC3" w:rsidRPr="00FB3AF5" w:rsidRDefault="009C0BC3" w:rsidP="00661B95">
            <w:pPr>
              <w:rPr>
                <w:sz w:val="20"/>
                <w:szCs w:val="20"/>
              </w:rPr>
            </w:pPr>
          </w:p>
          <w:p w:rsidR="009C0BC3" w:rsidRPr="00FB3AF5" w:rsidRDefault="009C0BC3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There are mechanisms in place for emergency scholarships.  </w:t>
            </w:r>
            <w:r w:rsidR="00F43ABC" w:rsidRPr="00FB3AF5">
              <w:rPr>
                <w:sz w:val="20"/>
                <w:szCs w:val="20"/>
              </w:rPr>
              <w:t xml:space="preserve">The student should contact </w:t>
            </w:r>
            <w:r w:rsidRPr="00FB3AF5">
              <w:rPr>
                <w:sz w:val="20"/>
                <w:szCs w:val="20"/>
              </w:rPr>
              <w:t xml:space="preserve">Julie and she will work with </w:t>
            </w:r>
            <w:r w:rsidR="00F43ABC" w:rsidRPr="00FB3AF5">
              <w:rPr>
                <w:sz w:val="20"/>
                <w:szCs w:val="20"/>
              </w:rPr>
              <w:t>the student</w:t>
            </w:r>
            <w:r w:rsidRPr="00FB3AF5">
              <w:rPr>
                <w:sz w:val="20"/>
                <w:szCs w:val="20"/>
              </w:rPr>
              <w:t xml:space="preserve"> in conjunction with other university offices.  </w:t>
            </w:r>
            <w:r w:rsidR="0063276B" w:rsidRPr="00FB3AF5">
              <w:rPr>
                <w:sz w:val="20"/>
                <w:szCs w:val="20"/>
              </w:rPr>
              <w:t xml:space="preserve">Faculty should provide </w:t>
            </w:r>
            <w:r w:rsidR="00F43ABC" w:rsidRPr="00FB3AF5">
              <w:rPr>
                <w:sz w:val="20"/>
                <w:szCs w:val="20"/>
              </w:rPr>
              <w:t>Julie’s contact</w:t>
            </w:r>
            <w:r w:rsidR="0063276B" w:rsidRPr="00FB3AF5">
              <w:rPr>
                <w:sz w:val="20"/>
                <w:szCs w:val="20"/>
              </w:rPr>
              <w:t xml:space="preserve"> information to the student.  </w:t>
            </w:r>
          </w:p>
          <w:p w:rsidR="00404574" w:rsidRPr="00FB3AF5" w:rsidRDefault="00404574" w:rsidP="00661B95">
            <w:pPr>
              <w:rPr>
                <w:sz w:val="20"/>
                <w:szCs w:val="20"/>
              </w:rPr>
            </w:pPr>
          </w:p>
          <w:p w:rsidR="00F43ABC" w:rsidRPr="00FB3AF5" w:rsidRDefault="00F43ABC" w:rsidP="00661B95">
            <w:pPr>
              <w:rPr>
                <w:sz w:val="20"/>
                <w:szCs w:val="20"/>
              </w:rPr>
            </w:pPr>
          </w:p>
          <w:p w:rsidR="00404574" w:rsidRPr="00FB3AF5" w:rsidRDefault="00404574" w:rsidP="00661B95">
            <w:pPr>
              <w:rPr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  <w:u w:val="single"/>
              </w:rPr>
              <w:t>Distance Learning</w:t>
            </w:r>
            <w:r w:rsidRPr="00FB3AF5">
              <w:rPr>
                <w:b/>
                <w:sz w:val="20"/>
                <w:szCs w:val="20"/>
              </w:rPr>
              <w:t>:</w:t>
            </w:r>
          </w:p>
          <w:p w:rsidR="00404574" w:rsidRPr="00FB3AF5" w:rsidRDefault="00924316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This area will now be under </w:t>
            </w:r>
            <w:r w:rsidR="00404574" w:rsidRPr="00FB3AF5">
              <w:rPr>
                <w:sz w:val="20"/>
                <w:szCs w:val="20"/>
              </w:rPr>
              <w:t>Dr. Hackney</w:t>
            </w:r>
            <w:r w:rsidRPr="00FB3AF5">
              <w:rPr>
                <w:sz w:val="20"/>
                <w:szCs w:val="20"/>
              </w:rPr>
              <w:t>’s oversight.</w:t>
            </w:r>
            <w:r w:rsidR="00404574" w:rsidRPr="00FB3AF5">
              <w:rPr>
                <w:sz w:val="20"/>
                <w:szCs w:val="20"/>
              </w:rPr>
              <w:t xml:space="preserve"> </w:t>
            </w:r>
            <w:r w:rsidRPr="00FB3AF5">
              <w:rPr>
                <w:sz w:val="20"/>
                <w:szCs w:val="20"/>
              </w:rPr>
              <w:t xml:space="preserve"> The group </w:t>
            </w:r>
            <w:r w:rsidRPr="00FB3AF5">
              <w:rPr>
                <w:sz w:val="20"/>
                <w:szCs w:val="20"/>
              </w:rPr>
              <w:lastRenderedPageBreak/>
              <w:t>was given an overview of current activities.</w:t>
            </w:r>
          </w:p>
          <w:p w:rsidR="00924316" w:rsidRPr="00FB3AF5" w:rsidRDefault="00924316" w:rsidP="00661B95">
            <w:pPr>
              <w:rPr>
                <w:sz w:val="20"/>
                <w:szCs w:val="20"/>
              </w:rPr>
            </w:pPr>
          </w:p>
          <w:p w:rsidR="00404574" w:rsidRPr="00FB3AF5" w:rsidRDefault="00404574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Tom Stafford gave the group an explanation of the kind of support the office provides </w:t>
            </w:r>
            <w:r w:rsidR="00924316" w:rsidRPr="00FB3AF5">
              <w:rPr>
                <w:sz w:val="20"/>
                <w:szCs w:val="20"/>
              </w:rPr>
              <w:t>to</w:t>
            </w:r>
            <w:r w:rsidRPr="00FB3AF5">
              <w:rPr>
                <w:sz w:val="20"/>
                <w:szCs w:val="20"/>
              </w:rPr>
              <w:t xml:space="preserve"> faculty.  </w:t>
            </w:r>
            <w:r w:rsidR="00924316" w:rsidRPr="00FB3AF5">
              <w:rPr>
                <w:sz w:val="20"/>
                <w:szCs w:val="20"/>
              </w:rPr>
              <w:t xml:space="preserve">Online course development assistance is available along with training.  </w:t>
            </w:r>
            <w:r w:rsidRPr="00FB3AF5">
              <w:rPr>
                <w:sz w:val="20"/>
                <w:szCs w:val="20"/>
              </w:rPr>
              <w:t xml:space="preserve">They work on a day to day basis with the Blackboard program.  </w:t>
            </w:r>
            <w:r w:rsidR="00924316" w:rsidRPr="00FB3AF5">
              <w:rPr>
                <w:sz w:val="20"/>
                <w:szCs w:val="20"/>
              </w:rPr>
              <w:t xml:space="preserve">They are trying to carve out time to </w:t>
            </w:r>
            <w:r w:rsidRPr="00FB3AF5">
              <w:rPr>
                <w:sz w:val="20"/>
                <w:szCs w:val="20"/>
              </w:rPr>
              <w:t xml:space="preserve">assist students.  They are also going to be putting out </w:t>
            </w:r>
            <w:r w:rsidR="00924316" w:rsidRPr="00FB3AF5">
              <w:rPr>
                <w:sz w:val="20"/>
                <w:szCs w:val="20"/>
              </w:rPr>
              <w:t>a newsletter via blackboard.</w:t>
            </w:r>
            <w:r w:rsidRPr="00FB3AF5">
              <w:rPr>
                <w:sz w:val="20"/>
                <w:szCs w:val="20"/>
              </w:rPr>
              <w:t xml:space="preserve"> </w:t>
            </w:r>
          </w:p>
          <w:p w:rsidR="00404574" w:rsidRPr="00FB3AF5" w:rsidRDefault="00404574" w:rsidP="00661B95">
            <w:pPr>
              <w:rPr>
                <w:sz w:val="20"/>
                <w:szCs w:val="20"/>
              </w:rPr>
            </w:pPr>
          </w:p>
          <w:p w:rsidR="00404574" w:rsidRPr="00FB3AF5" w:rsidRDefault="00404574" w:rsidP="0040457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Dr. Gornik shared that is currently teaching a totally online </w:t>
            </w:r>
            <w:proofErr w:type="gramStart"/>
            <w:r w:rsidR="005822C3" w:rsidRPr="00FB3AF5">
              <w:rPr>
                <w:sz w:val="20"/>
                <w:szCs w:val="20"/>
              </w:rPr>
              <w:t xml:space="preserve">superintendents  </w:t>
            </w:r>
            <w:r w:rsidRPr="00FB3AF5">
              <w:rPr>
                <w:sz w:val="20"/>
                <w:szCs w:val="20"/>
              </w:rPr>
              <w:t>course</w:t>
            </w:r>
            <w:proofErr w:type="gramEnd"/>
            <w:r w:rsidRPr="00FB3AF5">
              <w:rPr>
                <w:sz w:val="20"/>
                <w:szCs w:val="20"/>
              </w:rPr>
              <w:t xml:space="preserve"> for EDAD. She </w:t>
            </w:r>
            <w:r w:rsidR="005822C3" w:rsidRPr="00FB3AF5">
              <w:rPr>
                <w:sz w:val="20"/>
                <w:szCs w:val="20"/>
              </w:rPr>
              <w:t>h</w:t>
            </w:r>
            <w:r w:rsidRPr="00FB3AF5">
              <w:rPr>
                <w:sz w:val="20"/>
                <w:szCs w:val="20"/>
              </w:rPr>
              <w:t xml:space="preserve">as been working with Deb Huntsman </w:t>
            </w:r>
            <w:r w:rsidR="005822C3" w:rsidRPr="00FB3AF5">
              <w:rPr>
                <w:sz w:val="20"/>
                <w:szCs w:val="20"/>
              </w:rPr>
              <w:t>to develop</w:t>
            </w:r>
            <w:r w:rsidRPr="00FB3AF5">
              <w:rPr>
                <w:sz w:val="20"/>
                <w:szCs w:val="20"/>
              </w:rPr>
              <w:t xml:space="preserve"> a course</w:t>
            </w:r>
            <w:r w:rsidR="005822C3" w:rsidRPr="00FB3AF5">
              <w:rPr>
                <w:sz w:val="20"/>
                <w:szCs w:val="20"/>
              </w:rPr>
              <w:t xml:space="preserve"> comparable to one</w:t>
            </w:r>
            <w:r w:rsidRPr="00FB3AF5">
              <w:rPr>
                <w:sz w:val="20"/>
                <w:szCs w:val="20"/>
              </w:rPr>
              <w:t xml:space="preserve"> she took this summer </w:t>
            </w:r>
            <w:r w:rsidR="005822C3" w:rsidRPr="00FB3AF5">
              <w:rPr>
                <w:sz w:val="20"/>
                <w:szCs w:val="20"/>
              </w:rPr>
              <w:t>dealing with</w:t>
            </w:r>
            <w:r w:rsidRPr="00FB3AF5">
              <w:rPr>
                <w:sz w:val="20"/>
                <w:szCs w:val="20"/>
              </w:rPr>
              <w:t xml:space="preserve"> teaching online courses.  She encouraged the other faculty to develop their knowledge of online instruction.  </w:t>
            </w:r>
          </w:p>
          <w:p w:rsidR="00404574" w:rsidRPr="00FB3AF5" w:rsidRDefault="00404574" w:rsidP="00404574">
            <w:pPr>
              <w:rPr>
                <w:sz w:val="20"/>
                <w:szCs w:val="20"/>
              </w:rPr>
            </w:pPr>
          </w:p>
          <w:p w:rsidR="00404574" w:rsidRPr="00FB3AF5" w:rsidRDefault="00404574" w:rsidP="00D2367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Rachel shared that if there is enough interest among faculty a </w:t>
            </w:r>
            <w:r w:rsidR="00D23675" w:rsidRPr="00FB3AF5">
              <w:rPr>
                <w:sz w:val="20"/>
                <w:szCs w:val="20"/>
              </w:rPr>
              <w:t>workshop</w:t>
            </w:r>
            <w:r w:rsidRPr="00FB3AF5">
              <w:rPr>
                <w:sz w:val="20"/>
                <w:szCs w:val="20"/>
              </w:rPr>
              <w:t xml:space="preserve"> could be taught here in White Hall by Deb Huntsman’s office.  </w:t>
            </w:r>
            <w:r w:rsidR="006F35BD" w:rsidRPr="00FB3AF5">
              <w:rPr>
                <w:sz w:val="20"/>
                <w:szCs w:val="20"/>
              </w:rPr>
              <w:t xml:space="preserve">They are working on a standard template for the college for online courses. </w:t>
            </w:r>
          </w:p>
          <w:p w:rsidR="00D23675" w:rsidRPr="00FB3AF5" w:rsidRDefault="00D23675" w:rsidP="00D23675">
            <w:pPr>
              <w:rPr>
                <w:sz w:val="20"/>
                <w:szCs w:val="20"/>
              </w:rPr>
            </w:pPr>
          </w:p>
          <w:p w:rsidR="005822C3" w:rsidRPr="00FB3AF5" w:rsidRDefault="005822C3" w:rsidP="00D23675">
            <w:pPr>
              <w:rPr>
                <w:b/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  <w:u w:val="single"/>
              </w:rPr>
              <w:t>Research Bureau</w:t>
            </w:r>
            <w:r w:rsidRPr="00FB3AF5">
              <w:rPr>
                <w:b/>
                <w:sz w:val="20"/>
                <w:szCs w:val="20"/>
              </w:rPr>
              <w:t>:</w:t>
            </w:r>
          </w:p>
          <w:p w:rsidR="005822C3" w:rsidRPr="00FB3AF5" w:rsidRDefault="00D23675" w:rsidP="00D2367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Dr. Shama-Davis gave an overview of the </w:t>
            </w:r>
            <w:r w:rsidR="005822C3" w:rsidRPr="00FB3AF5">
              <w:rPr>
                <w:sz w:val="20"/>
                <w:szCs w:val="20"/>
              </w:rPr>
              <w:t xml:space="preserve">functions of the </w:t>
            </w:r>
            <w:r w:rsidRPr="00FB3AF5">
              <w:rPr>
                <w:sz w:val="20"/>
                <w:szCs w:val="20"/>
              </w:rPr>
              <w:t xml:space="preserve">Research Bureau. </w:t>
            </w:r>
            <w:r w:rsidR="005822C3" w:rsidRPr="00FB3AF5">
              <w:rPr>
                <w:sz w:val="20"/>
                <w:szCs w:val="20"/>
              </w:rPr>
              <w:t xml:space="preserve"> Unlimited </w:t>
            </w:r>
            <w:r w:rsidRPr="00FB3AF5">
              <w:rPr>
                <w:sz w:val="20"/>
                <w:szCs w:val="20"/>
              </w:rPr>
              <w:t xml:space="preserve">services are available to faculty and paid for by the </w:t>
            </w:r>
            <w:r w:rsidR="00DF0FAF" w:rsidRPr="00FB3AF5">
              <w:rPr>
                <w:sz w:val="20"/>
                <w:szCs w:val="20"/>
              </w:rPr>
              <w:t>college</w:t>
            </w:r>
            <w:r w:rsidRPr="00FB3AF5">
              <w:rPr>
                <w:sz w:val="20"/>
                <w:szCs w:val="20"/>
              </w:rPr>
              <w:t xml:space="preserve">.  There are data lab services and consultation services.  </w:t>
            </w:r>
          </w:p>
          <w:p w:rsidR="005822C3" w:rsidRPr="00FB3AF5" w:rsidRDefault="005822C3" w:rsidP="00D23675">
            <w:pPr>
              <w:rPr>
                <w:sz w:val="20"/>
                <w:szCs w:val="20"/>
              </w:rPr>
            </w:pPr>
          </w:p>
          <w:p w:rsidR="005E4CDB" w:rsidRPr="00FB3AF5" w:rsidRDefault="00D23675" w:rsidP="005822C3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Students have 40 hours of services in each area for a total of 80</w:t>
            </w:r>
            <w:r w:rsidR="005822C3" w:rsidRPr="00FB3AF5">
              <w:rPr>
                <w:sz w:val="20"/>
                <w:szCs w:val="20"/>
              </w:rPr>
              <w:t xml:space="preserve"> hours</w:t>
            </w:r>
            <w:r w:rsidRPr="00FB3AF5">
              <w:rPr>
                <w:sz w:val="20"/>
                <w:szCs w:val="20"/>
              </w:rPr>
              <w:t xml:space="preserve"> that are provided and paid for by the college.  </w:t>
            </w:r>
            <w:r w:rsidR="005E4CDB" w:rsidRPr="00FB3AF5">
              <w:rPr>
                <w:sz w:val="20"/>
                <w:szCs w:val="20"/>
              </w:rPr>
              <w:t xml:space="preserve">She explained that she will work in conjunction with the dissertation advisors if their doctoral students need assistance.  </w:t>
            </w:r>
            <w:r w:rsidR="005822C3" w:rsidRPr="00FB3AF5">
              <w:rPr>
                <w:sz w:val="20"/>
                <w:szCs w:val="20"/>
              </w:rPr>
              <w:t>A</w:t>
            </w:r>
            <w:r w:rsidR="005E4CDB" w:rsidRPr="00FB3AF5">
              <w:rPr>
                <w:sz w:val="20"/>
                <w:szCs w:val="20"/>
              </w:rPr>
              <w:t xml:space="preserve"> statistics lab</w:t>
            </w:r>
            <w:r w:rsidR="005822C3" w:rsidRPr="00FB3AF5">
              <w:rPr>
                <w:sz w:val="20"/>
                <w:szCs w:val="20"/>
              </w:rPr>
              <w:t xml:space="preserve"> is now</w:t>
            </w:r>
            <w:r w:rsidR="005E4CDB" w:rsidRPr="00FB3AF5">
              <w:rPr>
                <w:sz w:val="20"/>
                <w:szCs w:val="20"/>
              </w:rPr>
              <w:t xml:space="preserve"> a</w:t>
            </w:r>
            <w:r w:rsidR="005822C3" w:rsidRPr="00FB3AF5">
              <w:rPr>
                <w:sz w:val="20"/>
                <w:szCs w:val="20"/>
              </w:rPr>
              <w:t>vailable for students having difficulties.  She gave a quick overview of the software programs they have available.</w:t>
            </w:r>
          </w:p>
        </w:tc>
        <w:tc>
          <w:tcPr>
            <w:tcW w:w="2178" w:type="dxa"/>
          </w:tcPr>
          <w:p w:rsidR="00661B95" w:rsidRPr="00FB3AF5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FB3AF5" w:rsidTr="00285CB0">
        <w:tc>
          <w:tcPr>
            <w:tcW w:w="2448" w:type="dxa"/>
          </w:tcPr>
          <w:p w:rsidR="00661B95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lastRenderedPageBreak/>
              <w:t>Changes to Graduate Handbooks:</w:t>
            </w:r>
          </w:p>
          <w:p w:rsidR="006C0478" w:rsidRPr="00FB3AF5" w:rsidRDefault="006C0478" w:rsidP="006C047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Advisors</w:t>
            </w:r>
          </w:p>
          <w:p w:rsidR="006C0478" w:rsidRPr="00FB3AF5" w:rsidRDefault="006C0478" w:rsidP="006C047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Doctoral</w:t>
            </w:r>
          </w:p>
          <w:p w:rsidR="006C0478" w:rsidRPr="00FB3AF5" w:rsidRDefault="006C0478" w:rsidP="006C047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Graduate</w:t>
            </w:r>
          </w:p>
        </w:tc>
        <w:tc>
          <w:tcPr>
            <w:tcW w:w="5670" w:type="dxa"/>
          </w:tcPr>
          <w:p w:rsidR="00661B95" w:rsidRPr="00FB3AF5" w:rsidRDefault="00872CB1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All handbooks have now been updated.  Dr. Hackney asked that all advisors review the new advisors handbook.  It has been sent to a contact person for each program and is also available online through the OGSS website.  </w:t>
            </w:r>
            <w:r w:rsidR="002F29D2" w:rsidRPr="00FB3AF5">
              <w:rPr>
                <w:sz w:val="20"/>
                <w:szCs w:val="20"/>
              </w:rPr>
              <w:t xml:space="preserve">She asked the coordinators to encourage their faculty to review the </w:t>
            </w:r>
            <w:r w:rsidR="00A25BB1" w:rsidRPr="00FB3AF5">
              <w:rPr>
                <w:sz w:val="20"/>
                <w:szCs w:val="20"/>
              </w:rPr>
              <w:t xml:space="preserve">revised </w:t>
            </w:r>
            <w:r w:rsidR="002F29D2" w:rsidRPr="00FB3AF5">
              <w:rPr>
                <w:sz w:val="20"/>
                <w:szCs w:val="20"/>
              </w:rPr>
              <w:t xml:space="preserve">handbooks.  </w:t>
            </w:r>
            <w:r w:rsidR="006C0478" w:rsidRPr="00FB3AF5">
              <w:rPr>
                <w:sz w:val="20"/>
                <w:szCs w:val="20"/>
              </w:rPr>
              <w:tab/>
            </w:r>
          </w:p>
        </w:tc>
        <w:tc>
          <w:tcPr>
            <w:tcW w:w="2178" w:type="dxa"/>
          </w:tcPr>
          <w:p w:rsidR="00661B95" w:rsidRPr="00FB3AF5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FB3AF5" w:rsidTr="00285CB0">
        <w:tc>
          <w:tcPr>
            <w:tcW w:w="2448" w:type="dxa"/>
          </w:tcPr>
          <w:p w:rsidR="006C0478" w:rsidRPr="00FB3AF5" w:rsidRDefault="006C0478" w:rsidP="00DF0FAF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Changes in </w:t>
            </w:r>
            <w:r w:rsidR="00DF0FAF" w:rsidRPr="00FB3AF5">
              <w:rPr>
                <w:sz w:val="20"/>
                <w:szCs w:val="20"/>
              </w:rPr>
              <w:t>Graduate Programming</w:t>
            </w:r>
          </w:p>
        </w:tc>
        <w:tc>
          <w:tcPr>
            <w:tcW w:w="5670" w:type="dxa"/>
          </w:tcPr>
          <w:p w:rsidR="00DF0FAF" w:rsidRPr="00FB3AF5" w:rsidRDefault="00D22990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Dr. Hackney shared that the changes to the doctoral program came about through the review of the program and were approved by the Program Coordinators.  </w:t>
            </w:r>
          </w:p>
          <w:p w:rsidR="00DF0FAF" w:rsidRPr="00FB3AF5" w:rsidRDefault="00DF0FAF" w:rsidP="00661B95">
            <w:pPr>
              <w:rPr>
                <w:sz w:val="20"/>
                <w:szCs w:val="20"/>
              </w:rPr>
            </w:pPr>
          </w:p>
          <w:p w:rsidR="00661B95" w:rsidRPr="00FB3AF5" w:rsidRDefault="00D22990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Jen Schneider will be heading the doctoral forum this year.  Faculty may be asked to attend the meetings.  Faculty should encourage their doctoral </w:t>
            </w:r>
            <w:r w:rsidR="00DF0FAF" w:rsidRPr="00FB3AF5">
              <w:rPr>
                <w:sz w:val="20"/>
                <w:szCs w:val="20"/>
              </w:rPr>
              <w:t xml:space="preserve">students </w:t>
            </w:r>
            <w:r w:rsidRPr="00FB3AF5">
              <w:rPr>
                <w:sz w:val="20"/>
                <w:szCs w:val="20"/>
              </w:rPr>
              <w:t xml:space="preserve">to attend the doctoral forum meetings.  </w:t>
            </w:r>
          </w:p>
          <w:p w:rsidR="002866C9" w:rsidRPr="00FB3AF5" w:rsidRDefault="002866C9" w:rsidP="00661B95">
            <w:pPr>
              <w:rPr>
                <w:sz w:val="20"/>
                <w:szCs w:val="20"/>
              </w:rPr>
            </w:pPr>
          </w:p>
          <w:p w:rsidR="00951359" w:rsidRPr="00FB3AF5" w:rsidRDefault="002866C9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Dr. Henderson shared that it came to light in his class that students have a difficult time understanding that a dissertation is a peer review activity.  He suggested that this be made a part of the doctoral forum for discussion.</w:t>
            </w:r>
          </w:p>
          <w:p w:rsidR="00951359" w:rsidRPr="00FB3AF5" w:rsidRDefault="00951359" w:rsidP="00661B95">
            <w:pPr>
              <w:rPr>
                <w:sz w:val="20"/>
                <w:szCs w:val="20"/>
              </w:rPr>
            </w:pPr>
          </w:p>
          <w:p w:rsidR="002866C9" w:rsidRPr="00FB3AF5" w:rsidRDefault="00DF0FAF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Doctoral students may take comprehensive exams as early as the last semester of their coursework.</w:t>
            </w:r>
            <w:r w:rsidR="00951359" w:rsidRPr="00FB3AF5">
              <w:rPr>
                <w:sz w:val="20"/>
                <w:szCs w:val="20"/>
              </w:rPr>
              <w:t xml:space="preserve">  </w:t>
            </w:r>
            <w:r w:rsidR="002866C9" w:rsidRPr="00FB3A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78" w:type="dxa"/>
          </w:tcPr>
          <w:p w:rsidR="00661B95" w:rsidRPr="00FB3AF5" w:rsidRDefault="00661B95" w:rsidP="00661B95">
            <w:pPr>
              <w:rPr>
                <w:sz w:val="20"/>
                <w:szCs w:val="20"/>
              </w:rPr>
            </w:pPr>
          </w:p>
        </w:tc>
      </w:tr>
      <w:tr w:rsidR="00285CB0" w:rsidRPr="00FB3AF5" w:rsidTr="00285CB0">
        <w:tc>
          <w:tcPr>
            <w:tcW w:w="2448" w:type="dxa"/>
          </w:tcPr>
          <w:p w:rsidR="00285CB0" w:rsidRPr="00FB3AF5" w:rsidRDefault="006C0478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Changes in Dissertation Model</w:t>
            </w:r>
          </w:p>
        </w:tc>
        <w:tc>
          <w:tcPr>
            <w:tcW w:w="5670" w:type="dxa"/>
          </w:tcPr>
          <w:p w:rsidR="00285CB0" w:rsidRPr="00FB3AF5" w:rsidRDefault="00951359" w:rsidP="00DF0FAF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Dr. Hackney reminded the faculty that there is now a </w:t>
            </w:r>
            <w:r w:rsidR="00DF0FAF" w:rsidRPr="00FB3AF5">
              <w:rPr>
                <w:sz w:val="20"/>
                <w:szCs w:val="20"/>
              </w:rPr>
              <w:t xml:space="preserve">new dissertation </w:t>
            </w:r>
            <w:r w:rsidRPr="00FB3AF5">
              <w:rPr>
                <w:sz w:val="20"/>
                <w:szCs w:val="20"/>
              </w:rPr>
              <w:t xml:space="preserve">model that has been adopted as an </w:t>
            </w:r>
            <w:r w:rsidR="00DF0FAF" w:rsidRPr="00FB3AF5">
              <w:rPr>
                <w:sz w:val="20"/>
                <w:szCs w:val="20"/>
              </w:rPr>
              <w:t xml:space="preserve">option </w:t>
            </w:r>
            <w:r w:rsidRPr="00FB3AF5">
              <w:rPr>
                <w:sz w:val="20"/>
                <w:szCs w:val="20"/>
              </w:rPr>
              <w:t xml:space="preserve">for the students.  </w:t>
            </w:r>
          </w:p>
        </w:tc>
        <w:tc>
          <w:tcPr>
            <w:tcW w:w="2178" w:type="dxa"/>
          </w:tcPr>
          <w:p w:rsidR="00285CB0" w:rsidRPr="00FB3AF5" w:rsidRDefault="00285CB0" w:rsidP="00661B95">
            <w:pPr>
              <w:rPr>
                <w:sz w:val="20"/>
                <w:szCs w:val="20"/>
              </w:rPr>
            </w:pPr>
          </w:p>
        </w:tc>
      </w:tr>
      <w:tr w:rsidR="00285CB0" w:rsidRPr="00FB3AF5" w:rsidTr="00285CB0">
        <w:tc>
          <w:tcPr>
            <w:tcW w:w="2448" w:type="dxa"/>
          </w:tcPr>
          <w:p w:rsidR="00285CB0" w:rsidRPr="00FB3AF5" w:rsidRDefault="006C0478" w:rsidP="001E5E77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Registration for Thesis I &amp; II and Dissertation I &amp; II.</w:t>
            </w:r>
          </w:p>
        </w:tc>
        <w:tc>
          <w:tcPr>
            <w:tcW w:w="5670" w:type="dxa"/>
          </w:tcPr>
          <w:p w:rsidR="00285CB0" w:rsidRPr="00FB3AF5" w:rsidRDefault="00D2435A" w:rsidP="00D2435A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F</w:t>
            </w:r>
            <w:r w:rsidR="00951359" w:rsidRPr="00FB3AF5">
              <w:rPr>
                <w:sz w:val="20"/>
                <w:szCs w:val="20"/>
              </w:rPr>
              <w:t xml:space="preserve">aculty need to </w:t>
            </w:r>
            <w:r w:rsidRPr="00FB3AF5">
              <w:rPr>
                <w:sz w:val="20"/>
                <w:szCs w:val="20"/>
              </w:rPr>
              <w:t>remind</w:t>
            </w:r>
            <w:r w:rsidR="00951359" w:rsidRPr="00FB3AF5">
              <w:rPr>
                <w:sz w:val="20"/>
                <w:szCs w:val="20"/>
              </w:rPr>
              <w:t xml:space="preserve"> schedulers that these students must be continually registered.  This includes both groups.  </w:t>
            </w:r>
          </w:p>
        </w:tc>
        <w:tc>
          <w:tcPr>
            <w:tcW w:w="2178" w:type="dxa"/>
          </w:tcPr>
          <w:p w:rsidR="00285CB0" w:rsidRPr="00FB3AF5" w:rsidRDefault="00285CB0" w:rsidP="00661B95">
            <w:pPr>
              <w:rPr>
                <w:sz w:val="20"/>
                <w:szCs w:val="20"/>
              </w:rPr>
            </w:pPr>
          </w:p>
        </w:tc>
      </w:tr>
      <w:tr w:rsidR="006C0478" w:rsidRPr="00FB3AF5" w:rsidTr="00285CB0">
        <w:tc>
          <w:tcPr>
            <w:tcW w:w="2448" w:type="dxa"/>
          </w:tcPr>
          <w:p w:rsidR="006C0478" w:rsidRPr="00FB3AF5" w:rsidRDefault="005B6481" w:rsidP="001E5E77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Copies of Warning and Dismissal Letters</w:t>
            </w:r>
          </w:p>
        </w:tc>
        <w:tc>
          <w:tcPr>
            <w:tcW w:w="5670" w:type="dxa"/>
          </w:tcPr>
          <w:p w:rsidR="006C0478" w:rsidRPr="00FB3AF5" w:rsidRDefault="00951359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Faculty requested last year that the program coordinator and the advisor will receive a copy of the warning and dismissal letters.  This will begin with fall. </w:t>
            </w:r>
          </w:p>
        </w:tc>
        <w:tc>
          <w:tcPr>
            <w:tcW w:w="2178" w:type="dxa"/>
          </w:tcPr>
          <w:p w:rsidR="006C0478" w:rsidRPr="00FB3AF5" w:rsidRDefault="006C0478" w:rsidP="00661B95">
            <w:pPr>
              <w:rPr>
                <w:sz w:val="20"/>
                <w:szCs w:val="20"/>
              </w:rPr>
            </w:pPr>
          </w:p>
        </w:tc>
      </w:tr>
      <w:tr w:rsidR="005B6481" w:rsidRPr="00FB3AF5" w:rsidTr="00285CB0">
        <w:tc>
          <w:tcPr>
            <w:tcW w:w="2448" w:type="dxa"/>
          </w:tcPr>
          <w:p w:rsidR="005B6481" w:rsidRPr="00FB3AF5" w:rsidRDefault="005B6481" w:rsidP="001E5E77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lastRenderedPageBreak/>
              <w:t>Student Leaves of Absence</w:t>
            </w:r>
          </w:p>
        </w:tc>
        <w:tc>
          <w:tcPr>
            <w:tcW w:w="5670" w:type="dxa"/>
          </w:tcPr>
          <w:p w:rsidR="00C1488F" w:rsidRPr="00FB3AF5" w:rsidRDefault="00951359" w:rsidP="00951359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Nancy Miller explained the Leave of Absence policy.  If a student is gone more than 3 semesters and has not completed a </w:t>
            </w:r>
            <w:r w:rsidR="00D2435A" w:rsidRPr="00FB3AF5">
              <w:rPr>
                <w:sz w:val="20"/>
                <w:szCs w:val="20"/>
              </w:rPr>
              <w:t>L</w:t>
            </w:r>
            <w:r w:rsidRPr="00FB3AF5">
              <w:rPr>
                <w:sz w:val="20"/>
                <w:szCs w:val="20"/>
              </w:rPr>
              <w:t>eave of Absence form they will have to re-apply to the program for admission</w:t>
            </w:r>
            <w:r w:rsidR="009C6FFE" w:rsidRPr="00FB3AF5">
              <w:rPr>
                <w:sz w:val="20"/>
                <w:szCs w:val="20"/>
              </w:rPr>
              <w:t xml:space="preserve"> and pay the admission fees again</w:t>
            </w:r>
            <w:r w:rsidRPr="00FB3AF5">
              <w:rPr>
                <w:sz w:val="20"/>
                <w:szCs w:val="20"/>
              </w:rPr>
              <w:t>.  Their old documents can be used, but</w:t>
            </w:r>
            <w:r w:rsidR="00D2435A" w:rsidRPr="00FB3AF5">
              <w:rPr>
                <w:sz w:val="20"/>
                <w:szCs w:val="20"/>
              </w:rPr>
              <w:t xml:space="preserve"> they must request that</w:t>
            </w:r>
            <w:r w:rsidRPr="00FB3AF5">
              <w:rPr>
                <w:sz w:val="20"/>
                <w:szCs w:val="20"/>
              </w:rPr>
              <w:t xml:space="preserve"> Graduate Studies do so.  </w:t>
            </w:r>
            <w:r w:rsidR="00D06F47" w:rsidRPr="00FB3AF5">
              <w:rPr>
                <w:sz w:val="20"/>
                <w:szCs w:val="20"/>
              </w:rPr>
              <w:t>Several circumstances were discussed</w:t>
            </w:r>
            <w:r w:rsidR="00663DE1" w:rsidRPr="00FB3AF5">
              <w:rPr>
                <w:sz w:val="20"/>
                <w:szCs w:val="20"/>
              </w:rPr>
              <w:t xml:space="preserve"> </w:t>
            </w:r>
          </w:p>
          <w:p w:rsidR="00663DE1" w:rsidRPr="00FB3AF5" w:rsidRDefault="00663DE1" w:rsidP="00951359">
            <w:pPr>
              <w:rPr>
                <w:sz w:val="20"/>
                <w:szCs w:val="20"/>
              </w:rPr>
            </w:pPr>
          </w:p>
          <w:p w:rsidR="00C1488F" w:rsidRPr="00FB3AF5" w:rsidRDefault="00C1488F" w:rsidP="00D2435A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The issue of students preparing for comps was brought up.  These students may not be registered for courses, but yet are still involved with the university.  There was a suggestion that a section for 0 credit hours be created for this particular issue.  It would keep the students enrolled in the university without being cha</w:t>
            </w:r>
            <w:r w:rsidR="00D2435A" w:rsidRPr="00FB3AF5">
              <w:rPr>
                <w:sz w:val="20"/>
                <w:szCs w:val="20"/>
              </w:rPr>
              <w:t>rged or having</w:t>
            </w:r>
            <w:r w:rsidRPr="00FB3AF5">
              <w:rPr>
                <w:sz w:val="20"/>
                <w:szCs w:val="20"/>
              </w:rPr>
              <w:t xml:space="preserve"> to re-apply.  </w:t>
            </w:r>
          </w:p>
        </w:tc>
        <w:tc>
          <w:tcPr>
            <w:tcW w:w="2178" w:type="dxa"/>
          </w:tcPr>
          <w:p w:rsidR="005B6481" w:rsidRPr="00FB3AF5" w:rsidRDefault="005B6481" w:rsidP="00661B95">
            <w:pPr>
              <w:rPr>
                <w:sz w:val="20"/>
                <w:szCs w:val="20"/>
              </w:rPr>
            </w:pPr>
          </w:p>
        </w:tc>
      </w:tr>
      <w:tr w:rsidR="005B6481" w:rsidRPr="00FB3AF5" w:rsidTr="00285CB0">
        <w:tc>
          <w:tcPr>
            <w:tcW w:w="2448" w:type="dxa"/>
          </w:tcPr>
          <w:p w:rsidR="005B6481" w:rsidRPr="00FB3AF5" w:rsidRDefault="005B6481" w:rsidP="001E5E77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Other Issues</w:t>
            </w:r>
          </w:p>
        </w:tc>
        <w:tc>
          <w:tcPr>
            <w:tcW w:w="5670" w:type="dxa"/>
          </w:tcPr>
          <w:p w:rsidR="00A3429D" w:rsidRPr="00FB3AF5" w:rsidRDefault="00FD51AC" w:rsidP="00663DE1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There was a question if there has been a consequence developed for those</w:t>
            </w:r>
            <w:r w:rsidR="00663DE1" w:rsidRPr="00FB3AF5">
              <w:rPr>
                <w:sz w:val="20"/>
                <w:szCs w:val="20"/>
              </w:rPr>
              <w:t xml:space="preserve"> doctoral</w:t>
            </w:r>
            <w:r w:rsidRPr="00FB3AF5">
              <w:rPr>
                <w:sz w:val="20"/>
                <w:szCs w:val="20"/>
              </w:rPr>
              <w:t xml:space="preserve"> </w:t>
            </w:r>
            <w:r w:rsidR="00663DE1" w:rsidRPr="00FB3AF5">
              <w:rPr>
                <w:sz w:val="20"/>
                <w:szCs w:val="20"/>
              </w:rPr>
              <w:t>students without a proposal</w:t>
            </w:r>
            <w:r w:rsidRPr="00FB3AF5">
              <w:rPr>
                <w:sz w:val="20"/>
                <w:szCs w:val="20"/>
              </w:rPr>
              <w:t xml:space="preserve"> two (2) years</w:t>
            </w:r>
            <w:r w:rsidR="00663DE1" w:rsidRPr="00FB3AF5">
              <w:rPr>
                <w:sz w:val="20"/>
                <w:szCs w:val="20"/>
              </w:rPr>
              <w:t xml:space="preserve"> after passing comps</w:t>
            </w:r>
            <w:r w:rsidRPr="00FB3AF5">
              <w:rPr>
                <w:sz w:val="20"/>
                <w:szCs w:val="20"/>
              </w:rPr>
              <w:t xml:space="preserve">.  Dr. Hackney directed them to the revised handbook where this is addressed.  </w:t>
            </w:r>
          </w:p>
        </w:tc>
        <w:tc>
          <w:tcPr>
            <w:tcW w:w="2178" w:type="dxa"/>
          </w:tcPr>
          <w:p w:rsidR="005B6481" w:rsidRPr="00FB3AF5" w:rsidRDefault="005B6481" w:rsidP="00661B95">
            <w:pPr>
              <w:rPr>
                <w:sz w:val="20"/>
                <w:szCs w:val="20"/>
              </w:rPr>
            </w:pPr>
          </w:p>
        </w:tc>
      </w:tr>
      <w:tr w:rsidR="00535FE8" w:rsidRPr="00FB3AF5" w:rsidTr="00285CB0">
        <w:tc>
          <w:tcPr>
            <w:tcW w:w="2448" w:type="dxa"/>
          </w:tcPr>
          <w:p w:rsidR="00535FE8" w:rsidRPr="00FB3AF5" w:rsidRDefault="00535FE8" w:rsidP="001E5E77">
            <w:pPr>
              <w:rPr>
                <w:b/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</w:rPr>
              <w:t>PART II</w:t>
            </w:r>
          </w:p>
        </w:tc>
        <w:tc>
          <w:tcPr>
            <w:tcW w:w="5670" w:type="dxa"/>
          </w:tcPr>
          <w:p w:rsidR="00535FE8" w:rsidRPr="00FB3AF5" w:rsidRDefault="00535FE8" w:rsidP="00661B95">
            <w:pPr>
              <w:rPr>
                <w:b/>
                <w:sz w:val="20"/>
                <w:szCs w:val="20"/>
              </w:rPr>
            </w:pPr>
            <w:r w:rsidRPr="00FB3AF5">
              <w:rPr>
                <w:b/>
                <w:sz w:val="20"/>
                <w:szCs w:val="20"/>
              </w:rPr>
              <w:t>Only Coordinators Associated with NCATE</w:t>
            </w:r>
          </w:p>
        </w:tc>
        <w:tc>
          <w:tcPr>
            <w:tcW w:w="2178" w:type="dxa"/>
          </w:tcPr>
          <w:p w:rsidR="00535FE8" w:rsidRPr="00FB3AF5" w:rsidRDefault="00535FE8" w:rsidP="00661B95">
            <w:pPr>
              <w:rPr>
                <w:sz w:val="20"/>
                <w:szCs w:val="20"/>
              </w:rPr>
            </w:pPr>
          </w:p>
        </w:tc>
      </w:tr>
      <w:tr w:rsidR="00535FE8" w:rsidRPr="00FB3AF5" w:rsidTr="00285CB0">
        <w:tc>
          <w:tcPr>
            <w:tcW w:w="2448" w:type="dxa"/>
          </w:tcPr>
          <w:p w:rsidR="00535FE8" w:rsidRPr="00FB3AF5" w:rsidRDefault="00535FE8" w:rsidP="001E5E77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Student Teaching</w:t>
            </w:r>
          </w:p>
        </w:tc>
        <w:tc>
          <w:tcPr>
            <w:tcW w:w="5670" w:type="dxa"/>
          </w:tcPr>
          <w:p w:rsidR="0048070F" w:rsidRPr="00FB3AF5" w:rsidRDefault="0048070F" w:rsidP="00661B95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 </w:t>
            </w:r>
            <w:r w:rsidR="00574B58" w:rsidRPr="00FB3AF5">
              <w:rPr>
                <w:sz w:val="20"/>
                <w:szCs w:val="20"/>
              </w:rPr>
              <w:t>This was not discussed.</w:t>
            </w:r>
          </w:p>
        </w:tc>
        <w:tc>
          <w:tcPr>
            <w:tcW w:w="2178" w:type="dxa"/>
          </w:tcPr>
          <w:p w:rsidR="00535FE8" w:rsidRPr="00FB3AF5" w:rsidRDefault="00535FE8" w:rsidP="00661B95">
            <w:pPr>
              <w:rPr>
                <w:sz w:val="20"/>
                <w:szCs w:val="20"/>
              </w:rPr>
            </w:pPr>
          </w:p>
        </w:tc>
      </w:tr>
      <w:tr w:rsidR="00535FE8" w:rsidRPr="00FB3AF5" w:rsidTr="00285CB0">
        <w:tc>
          <w:tcPr>
            <w:tcW w:w="2448" w:type="dxa"/>
          </w:tcPr>
          <w:p w:rsidR="00535FE8" w:rsidRPr="00FB3AF5" w:rsidRDefault="00535FE8" w:rsidP="001E5E77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Erica Eckert</w:t>
            </w:r>
          </w:p>
        </w:tc>
        <w:tc>
          <w:tcPr>
            <w:tcW w:w="5670" w:type="dxa"/>
          </w:tcPr>
          <w:p w:rsidR="00254094" w:rsidRPr="00FB3AF5" w:rsidRDefault="00254094" w:rsidP="0025409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Dr. Eckert provided a review of the NCATE standards.  She shared that each program needs to have the conceptual </w:t>
            </w:r>
            <w:r w:rsidR="00574B58" w:rsidRPr="00FB3AF5">
              <w:rPr>
                <w:sz w:val="20"/>
                <w:szCs w:val="20"/>
              </w:rPr>
              <w:t xml:space="preserve">framework </w:t>
            </w:r>
            <w:r w:rsidRPr="00FB3AF5">
              <w:rPr>
                <w:sz w:val="20"/>
                <w:szCs w:val="20"/>
              </w:rPr>
              <w:t>piece attached to their syllabi and all information related to their program.</w:t>
            </w: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She is looking for examples of collaborative activities between unit and P-12 schools and supported field work.</w:t>
            </w: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The Standard 3 team is still waiting for the data from the programs.  </w:t>
            </w: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3.4d. Instructors of records and evaluation of preceptors and evaluators.  Need to know how these persons are being evaluated.  There was discussion on how this is accomplished for the advanced programs.  </w:t>
            </w: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Needs any policies, practices that promote working with diverse P-12 students.</w:t>
            </w:r>
          </w:p>
          <w:p w:rsidR="00254094" w:rsidRPr="00FB3AF5" w:rsidRDefault="00254094" w:rsidP="00254094">
            <w:pPr>
              <w:rPr>
                <w:sz w:val="20"/>
                <w:szCs w:val="20"/>
              </w:rPr>
            </w:pPr>
          </w:p>
          <w:p w:rsidR="00535FE8" w:rsidRPr="00FB3AF5" w:rsidRDefault="00254094" w:rsidP="00254094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Any policies the program engages in to attract and retain diverse students.  </w:t>
            </w:r>
            <w:r w:rsidR="0048070F" w:rsidRPr="00FB3AF5">
              <w:rPr>
                <w:sz w:val="20"/>
                <w:szCs w:val="20"/>
              </w:rPr>
              <w:t xml:space="preserve">Assessment data must be entered every semester.  She shared that she needs for this data to be available for inclusion in her reports.  </w:t>
            </w:r>
          </w:p>
          <w:p w:rsidR="0048070F" w:rsidRPr="00FB3AF5" w:rsidRDefault="0048070F" w:rsidP="0048070F">
            <w:pPr>
              <w:rPr>
                <w:sz w:val="20"/>
                <w:szCs w:val="20"/>
              </w:rPr>
            </w:pPr>
          </w:p>
          <w:p w:rsidR="0048070F" w:rsidRPr="00FB3AF5" w:rsidRDefault="0048070F" w:rsidP="0048070F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She review</w:t>
            </w:r>
            <w:r w:rsidR="00574B58" w:rsidRPr="00FB3AF5">
              <w:rPr>
                <w:sz w:val="20"/>
                <w:szCs w:val="20"/>
              </w:rPr>
              <w:t>ed</w:t>
            </w:r>
            <w:r w:rsidRPr="00FB3AF5">
              <w:rPr>
                <w:sz w:val="20"/>
                <w:szCs w:val="20"/>
              </w:rPr>
              <w:t xml:space="preserve"> the Standards with everyone.  </w:t>
            </w:r>
            <w:r w:rsidR="00663DE1" w:rsidRPr="00FB3AF5">
              <w:rPr>
                <w:sz w:val="20"/>
                <w:szCs w:val="20"/>
              </w:rPr>
              <w:t>(</w:t>
            </w:r>
            <w:r w:rsidRPr="00FB3AF5">
              <w:rPr>
                <w:sz w:val="20"/>
                <w:szCs w:val="20"/>
              </w:rPr>
              <w:t>Dr. Hackney explained that after this year NCATE will switch to CAEP.</w:t>
            </w:r>
            <w:r w:rsidR="00663DE1" w:rsidRPr="00FB3AF5">
              <w:rPr>
                <w:sz w:val="20"/>
                <w:szCs w:val="20"/>
              </w:rPr>
              <w:t>)</w:t>
            </w:r>
            <w:r w:rsidRPr="00FB3AF5">
              <w:rPr>
                <w:sz w:val="20"/>
                <w:szCs w:val="20"/>
              </w:rPr>
              <w:t xml:space="preserve">  </w:t>
            </w:r>
          </w:p>
          <w:p w:rsidR="0048070F" w:rsidRPr="00FB3AF5" w:rsidRDefault="0048070F" w:rsidP="0048070F">
            <w:pPr>
              <w:rPr>
                <w:sz w:val="20"/>
                <w:szCs w:val="20"/>
              </w:rPr>
            </w:pPr>
          </w:p>
          <w:p w:rsidR="0048070F" w:rsidRPr="00FB3AF5" w:rsidRDefault="0048070F" w:rsidP="0048070F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Data reported will be F12 – S14.  Explained how the NCATE visit will proceed including the initial report review.  </w:t>
            </w:r>
          </w:p>
          <w:p w:rsidR="00620AB0" w:rsidRPr="00FB3AF5" w:rsidRDefault="00620AB0" w:rsidP="0048070F">
            <w:pPr>
              <w:rPr>
                <w:sz w:val="20"/>
                <w:szCs w:val="20"/>
              </w:rPr>
            </w:pPr>
          </w:p>
          <w:p w:rsidR="00620AB0" w:rsidRPr="00FB3AF5" w:rsidRDefault="00620AB0" w:rsidP="0048070F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>She asked if everyone would consider all of the courses in their programs to be professional courses.  She explained that she will</w:t>
            </w:r>
            <w:r w:rsidR="00574B58" w:rsidRPr="00FB3AF5">
              <w:rPr>
                <w:sz w:val="20"/>
                <w:szCs w:val="20"/>
              </w:rPr>
              <w:t xml:space="preserve"> </w:t>
            </w:r>
            <w:r w:rsidRPr="00FB3AF5">
              <w:rPr>
                <w:sz w:val="20"/>
                <w:szCs w:val="20"/>
              </w:rPr>
              <w:t xml:space="preserve">need syllabi for all courses.  </w:t>
            </w:r>
          </w:p>
          <w:p w:rsidR="00791D1E" w:rsidRPr="00FB3AF5" w:rsidRDefault="00791D1E" w:rsidP="0048070F">
            <w:pPr>
              <w:rPr>
                <w:sz w:val="20"/>
                <w:szCs w:val="20"/>
              </w:rPr>
            </w:pPr>
          </w:p>
          <w:p w:rsidR="00791D1E" w:rsidRPr="00FB3AF5" w:rsidRDefault="00791D1E" w:rsidP="0048070F">
            <w:pPr>
              <w:rPr>
                <w:sz w:val="20"/>
                <w:szCs w:val="20"/>
              </w:rPr>
            </w:pPr>
            <w:r w:rsidRPr="00FB3AF5">
              <w:rPr>
                <w:sz w:val="20"/>
                <w:szCs w:val="20"/>
              </w:rPr>
              <w:t xml:space="preserve">She will be requesting significant changes to programs as a result of program reviews.  </w:t>
            </w:r>
          </w:p>
        </w:tc>
        <w:tc>
          <w:tcPr>
            <w:tcW w:w="2178" w:type="dxa"/>
          </w:tcPr>
          <w:p w:rsidR="00535FE8" w:rsidRPr="00FB3AF5" w:rsidRDefault="00535FE8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FB3AF5" w:rsidRDefault="00661B95" w:rsidP="00661B95">
      <w:pPr>
        <w:rPr>
          <w:sz w:val="20"/>
          <w:szCs w:val="20"/>
        </w:rPr>
      </w:pPr>
    </w:p>
    <w:p w:rsidR="00661B95" w:rsidRPr="00FB3AF5" w:rsidRDefault="00661B95" w:rsidP="00661B95">
      <w:pPr>
        <w:rPr>
          <w:sz w:val="20"/>
          <w:szCs w:val="20"/>
        </w:rPr>
      </w:pPr>
      <w:r w:rsidRPr="00FB3AF5">
        <w:rPr>
          <w:sz w:val="20"/>
          <w:szCs w:val="20"/>
        </w:rPr>
        <w:t xml:space="preserve">The meeting was adjourned </w:t>
      </w:r>
      <w:proofErr w:type="gramStart"/>
      <w:r w:rsidRPr="00FB3AF5">
        <w:rPr>
          <w:sz w:val="20"/>
          <w:szCs w:val="20"/>
        </w:rPr>
        <w:t>at</w:t>
      </w:r>
      <w:r w:rsidR="005716EC" w:rsidRPr="00FB3AF5">
        <w:rPr>
          <w:sz w:val="20"/>
          <w:szCs w:val="20"/>
        </w:rPr>
        <w:t xml:space="preserve">  11:20am</w:t>
      </w:r>
      <w:proofErr w:type="gramEnd"/>
    </w:p>
    <w:p w:rsidR="00661B95" w:rsidRPr="00FB3AF5" w:rsidRDefault="00661B95" w:rsidP="00661B95">
      <w:pPr>
        <w:rPr>
          <w:b/>
          <w:sz w:val="20"/>
          <w:szCs w:val="20"/>
        </w:rPr>
      </w:pPr>
      <w:r w:rsidRPr="00FB3AF5">
        <w:rPr>
          <w:sz w:val="20"/>
          <w:szCs w:val="20"/>
        </w:rPr>
        <w:t>Next meeting:</w:t>
      </w:r>
      <w:r w:rsidR="008C0AC9" w:rsidRPr="00FB3AF5">
        <w:rPr>
          <w:sz w:val="20"/>
          <w:szCs w:val="20"/>
        </w:rPr>
        <w:t xml:space="preserve">  </w:t>
      </w:r>
      <w:r w:rsidR="00574B58" w:rsidRPr="00FB3AF5">
        <w:rPr>
          <w:b/>
          <w:sz w:val="20"/>
          <w:szCs w:val="20"/>
        </w:rPr>
        <w:t>Friday, Oct. 24, WH- Rm 200</w:t>
      </w:r>
    </w:p>
    <w:p w:rsidR="00574B58" w:rsidRPr="00FB3AF5" w:rsidRDefault="00661B95" w:rsidP="00661B95">
      <w:pPr>
        <w:rPr>
          <w:sz w:val="20"/>
          <w:szCs w:val="20"/>
        </w:rPr>
      </w:pPr>
      <w:r w:rsidRPr="00FB3AF5">
        <w:rPr>
          <w:sz w:val="20"/>
          <w:szCs w:val="20"/>
        </w:rPr>
        <w:t>Respectfully submitted</w:t>
      </w:r>
    </w:p>
    <w:p w:rsidR="00661B95" w:rsidRPr="00CE4D68" w:rsidRDefault="00661B95" w:rsidP="00661B95">
      <w:pPr>
        <w:rPr>
          <w:sz w:val="20"/>
          <w:szCs w:val="20"/>
        </w:rPr>
      </w:pPr>
      <w:r w:rsidRPr="00FB3AF5">
        <w:rPr>
          <w:sz w:val="20"/>
          <w:szCs w:val="20"/>
        </w:rPr>
        <w:t>Luci Wymer, Recorder</w:t>
      </w:r>
      <w:bookmarkStart w:id="0" w:name="_GoBack"/>
      <w:bookmarkEnd w:id="0"/>
    </w:p>
    <w:sectPr w:rsidR="00661B95" w:rsidRPr="00CE4D68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A59"/>
    <w:multiLevelType w:val="hybridMultilevel"/>
    <w:tmpl w:val="ECD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70775"/>
    <w:multiLevelType w:val="hybridMultilevel"/>
    <w:tmpl w:val="70724EE0"/>
    <w:lvl w:ilvl="0" w:tplc="53ECE8A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A43CB"/>
    <w:rsid w:val="001E5E77"/>
    <w:rsid w:val="0020225C"/>
    <w:rsid w:val="00227AC1"/>
    <w:rsid w:val="002451BA"/>
    <w:rsid w:val="00254094"/>
    <w:rsid w:val="00285CB0"/>
    <w:rsid w:val="002866C9"/>
    <w:rsid w:val="002F29D2"/>
    <w:rsid w:val="003078BA"/>
    <w:rsid w:val="00350162"/>
    <w:rsid w:val="003F7EF6"/>
    <w:rsid w:val="004035E6"/>
    <w:rsid w:val="00404574"/>
    <w:rsid w:val="0042113A"/>
    <w:rsid w:val="0046299D"/>
    <w:rsid w:val="0048070F"/>
    <w:rsid w:val="004D027C"/>
    <w:rsid w:val="004D5E73"/>
    <w:rsid w:val="00535FE8"/>
    <w:rsid w:val="005612BE"/>
    <w:rsid w:val="005716EC"/>
    <w:rsid w:val="00574B58"/>
    <w:rsid w:val="005822C3"/>
    <w:rsid w:val="0059197D"/>
    <w:rsid w:val="005B6481"/>
    <w:rsid w:val="005C4E3D"/>
    <w:rsid w:val="005C4E52"/>
    <w:rsid w:val="005D2B5A"/>
    <w:rsid w:val="005D5673"/>
    <w:rsid w:val="005E4CDB"/>
    <w:rsid w:val="00620AB0"/>
    <w:rsid w:val="0063276B"/>
    <w:rsid w:val="00646B9A"/>
    <w:rsid w:val="00661B95"/>
    <w:rsid w:val="00663DE1"/>
    <w:rsid w:val="006655C2"/>
    <w:rsid w:val="00673E9F"/>
    <w:rsid w:val="006C0478"/>
    <w:rsid w:val="006C29B8"/>
    <w:rsid w:val="006D30B3"/>
    <w:rsid w:val="006F35BD"/>
    <w:rsid w:val="007057C5"/>
    <w:rsid w:val="0071566C"/>
    <w:rsid w:val="00762A58"/>
    <w:rsid w:val="00791D1E"/>
    <w:rsid w:val="007C1C1C"/>
    <w:rsid w:val="00823D18"/>
    <w:rsid w:val="008524A2"/>
    <w:rsid w:val="00872CB1"/>
    <w:rsid w:val="00893B24"/>
    <w:rsid w:val="008A24AB"/>
    <w:rsid w:val="008C0AC9"/>
    <w:rsid w:val="00924316"/>
    <w:rsid w:val="00946DD8"/>
    <w:rsid w:val="00951359"/>
    <w:rsid w:val="009C0BC3"/>
    <w:rsid w:val="009C6FFE"/>
    <w:rsid w:val="00A25BB1"/>
    <w:rsid w:val="00A3429D"/>
    <w:rsid w:val="00AA7BF7"/>
    <w:rsid w:val="00B223A2"/>
    <w:rsid w:val="00BD4433"/>
    <w:rsid w:val="00BE3610"/>
    <w:rsid w:val="00C1488F"/>
    <w:rsid w:val="00C23C81"/>
    <w:rsid w:val="00C84FAC"/>
    <w:rsid w:val="00CB2728"/>
    <w:rsid w:val="00CE4D68"/>
    <w:rsid w:val="00D06F47"/>
    <w:rsid w:val="00D10B84"/>
    <w:rsid w:val="00D22990"/>
    <w:rsid w:val="00D23675"/>
    <w:rsid w:val="00D2435A"/>
    <w:rsid w:val="00D36765"/>
    <w:rsid w:val="00DF0862"/>
    <w:rsid w:val="00DF0FAF"/>
    <w:rsid w:val="00E334C0"/>
    <w:rsid w:val="00E45108"/>
    <w:rsid w:val="00EC5B05"/>
    <w:rsid w:val="00ED7E2C"/>
    <w:rsid w:val="00EE213D"/>
    <w:rsid w:val="00F37541"/>
    <w:rsid w:val="00F43ABC"/>
    <w:rsid w:val="00FB3AF5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4E3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4E3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@kent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C5E9-C891-40E5-8AEB-B2EF29AE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1696</Words>
  <Characters>9671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2014-09-10T13:29:00Z</dcterms:created>
  <dcterms:modified xsi:type="dcterms:W3CDTF">2014-09-10T13:29:00Z</dcterms:modified>
</cp:coreProperties>
</file>