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6B" w:rsidRDefault="00B37679" w:rsidP="0097419F">
      <w:pPr>
        <w:jc w:val="center"/>
      </w:pPr>
      <w:r>
        <w:rPr>
          <w:noProof/>
        </w:rPr>
        <w:drawing>
          <wp:inline distT="0" distB="0" distL="0" distR="0">
            <wp:extent cx="2143125" cy="723900"/>
            <wp:effectExtent l="0" t="0" r="0" b="0"/>
            <wp:docPr id="1" name="Picture 1" descr="Ashtabu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tabu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9F" w:rsidRDefault="0097419F" w:rsidP="0097419F">
      <w:pPr>
        <w:jc w:val="center"/>
      </w:pPr>
    </w:p>
    <w:p w:rsidR="00CE1EDE" w:rsidRDefault="00CC3209" w:rsidP="0097419F">
      <w:pPr>
        <w:jc w:val="center"/>
        <w:rPr>
          <w:b/>
          <w:u w:val="single"/>
        </w:rPr>
      </w:pPr>
      <w:r>
        <w:rPr>
          <w:b/>
          <w:u w:val="single"/>
        </w:rPr>
        <w:t xml:space="preserve">FACULTY </w:t>
      </w:r>
      <w:r w:rsidR="0097419F">
        <w:rPr>
          <w:b/>
          <w:u w:val="single"/>
        </w:rPr>
        <w:t>PROFESSIONAL TRAVEL POLICY</w:t>
      </w:r>
      <w:r w:rsidR="006E1059">
        <w:rPr>
          <w:b/>
          <w:u w:val="single"/>
        </w:rPr>
        <w:t xml:space="preserve"> and PROCEDURE</w:t>
      </w:r>
    </w:p>
    <w:p w:rsidR="0097419F" w:rsidRDefault="0097419F" w:rsidP="0097419F">
      <w:pPr>
        <w:jc w:val="center"/>
        <w:rPr>
          <w:b/>
          <w:u w:val="single"/>
        </w:rPr>
      </w:pPr>
    </w:p>
    <w:p w:rsidR="0097419F" w:rsidRDefault="006E1059" w:rsidP="0097419F">
      <w:r>
        <w:t>The following policy and procedure has</w:t>
      </w:r>
      <w:r w:rsidR="0097419F">
        <w:t xml:space="preserve"> been established </w:t>
      </w:r>
      <w:r>
        <w:t xml:space="preserve">to ensure that faculty can be reimbursed for professional travel expenses by adhering to Kent State University policies.  It applies to </w:t>
      </w:r>
      <w:r w:rsidR="0097419F">
        <w:t xml:space="preserve">all </w:t>
      </w:r>
      <w:r w:rsidR="00B90706">
        <w:t xml:space="preserve">Ashtabula Campus </w:t>
      </w:r>
      <w:r w:rsidR="0097419F">
        <w:t>full-time TT and</w:t>
      </w:r>
      <w:r>
        <w:t xml:space="preserve"> NTT Faculty.  </w:t>
      </w:r>
      <w:r w:rsidR="004525B8">
        <w:t xml:space="preserve">This policy will be administered by the Faculty Council Chair and the Assistant Dean’s office.  </w:t>
      </w:r>
      <w:r>
        <w:t>It has been approved by the Faculty Council.</w:t>
      </w:r>
    </w:p>
    <w:p w:rsidR="006E1059" w:rsidRDefault="006E1059" w:rsidP="0097419F"/>
    <w:p w:rsidR="006E1059" w:rsidRDefault="004525B8" w:rsidP="0097419F">
      <w:r>
        <w:rPr>
          <w:u w:val="single"/>
        </w:rPr>
        <w:t xml:space="preserve">REIMBURSEMENT POLICY </w:t>
      </w:r>
      <w:r w:rsidR="006E1059">
        <w:rPr>
          <w:u w:val="single"/>
        </w:rPr>
        <w:t>GUIDELINES</w:t>
      </w:r>
    </w:p>
    <w:p w:rsidR="006E1059" w:rsidRDefault="006E1059" w:rsidP="006E1059"/>
    <w:p w:rsidR="006E1059" w:rsidRDefault="006E1059" w:rsidP="006E1059">
      <w:pPr>
        <w:numPr>
          <w:ilvl w:val="0"/>
          <w:numId w:val="9"/>
        </w:numPr>
      </w:pPr>
      <w:r>
        <w:t xml:space="preserve">An amount </w:t>
      </w:r>
      <w:r w:rsidR="00A93B10">
        <w:t xml:space="preserve">up to or </w:t>
      </w:r>
      <w:r>
        <w:t>equal to $300 per ful</w:t>
      </w:r>
      <w:r w:rsidR="00237561">
        <w:t>l-time faculty member will be</w:t>
      </w:r>
      <w:r>
        <w:t xml:space="preserve"> budgeted annually for Faculty Professional Travel.  </w:t>
      </w:r>
    </w:p>
    <w:p w:rsidR="006E1059" w:rsidRDefault="006E1059" w:rsidP="006E1059"/>
    <w:p w:rsidR="006E1059" w:rsidRDefault="006E1059" w:rsidP="006E1059">
      <w:pPr>
        <w:numPr>
          <w:ilvl w:val="0"/>
          <w:numId w:val="11"/>
        </w:numPr>
      </w:pPr>
      <w:r>
        <w:t xml:space="preserve">A maximum of $1,000 per faculty member per fiscal year (July 1 through June 30) will be reimbursed.  </w:t>
      </w:r>
      <w:r w:rsidRPr="00B90706">
        <w:rPr>
          <w:b/>
        </w:rPr>
        <w:t>Actual</w:t>
      </w:r>
      <w:r>
        <w:t xml:space="preserve"> </w:t>
      </w:r>
      <w:r w:rsidR="00603F77">
        <w:rPr>
          <w:b/>
        </w:rPr>
        <w:t xml:space="preserve">reimbursements </w:t>
      </w:r>
      <w:r w:rsidRPr="00B90706">
        <w:rPr>
          <w:b/>
        </w:rPr>
        <w:t xml:space="preserve">will be determined by the number of requests.  Funding is </w:t>
      </w:r>
      <w:r w:rsidR="00795718">
        <w:rPr>
          <w:b/>
        </w:rPr>
        <w:t>not guaranteed</w:t>
      </w:r>
      <w:r w:rsidRPr="00B90706">
        <w:rPr>
          <w:b/>
        </w:rPr>
        <w:t xml:space="preserve"> as requests may exceed the pool of funds available</w:t>
      </w:r>
      <w:r>
        <w:t>.</w:t>
      </w:r>
    </w:p>
    <w:p w:rsidR="006E1059" w:rsidRDefault="006E1059" w:rsidP="006E1059"/>
    <w:p w:rsidR="006E1059" w:rsidRDefault="006E1059" w:rsidP="006E1059">
      <w:pPr>
        <w:numPr>
          <w:ilvl w:val="0"/>
          <w:numId w:val="9"/>
        </w:numPr>
      </w:pPr>
      <w:r>
        <w:t xml:space="preserve">The following parameters have been established for reimbursement of professional </w:t>
      </w:r>
    </w:p>
    <w:p w:rsidR="006E1059" w:rsidRDefault="00526F5A" w:rsidP="00526F5A">
      <w:pPr>
        <w:ind w:left="660"/>
      </w:pPr>
      <w:r>
        <w:t>T</w:t>
      </w:r>
      <w:r w:rsidR="006E1059">
        <w:t>ravel</w:t>
      </w:r>
      <w:r>
        <w:t>/Professional Development activities</w:t>
      </w:r>
      <w:r w:rsidR="006E1059">
        <w:t>:</w:t>
      </w:r>
    </w:p>
    <w:p w:rsidR="006E1059" w:rsidRDefault="006E1059" w:rsidP="006E1059">
      <w:pPr>
        <w:ind w:left="300"/>
      </w:pPr>
    </w:p>
    <w:p w:rsidR="006E1059" w:rsidRDefault="006E1059" w:rsidP="006E1059">
      <w:pPr>
        <w:numPr>
          <w:ilvl w:val="0"/>
          <w:numId w:val="8"/>
        </w:numPr>
      </w:pPr>
      <w:r>
        <w:t xml:space="preserve">Presentation of paper or poster . . . . . . . . . . . . . . . . . . . </w:t>
      </w:r>
      <w:r w:rsidR="00526F5A">
        <w:t>. . . . . . . . . .</w:t>
      </w:r>
      <w:r>
        <w:t xml:space="preserve"> </w:t>
      </w:r>
      <w:r w:rsidR="00526F5A">
        <w:t>. . . .</w:t>
      </w:r>
      <w:r>
        <w:t>up to 90%*</w:t>
      </w:r>
    </w:p>
    <w:p w:rsidR="006E1059" w:rsidRPr="00526F5A" w:rsidRDefault="006E1059" w:rsidP="00526F5A">
      <w:pPr>
        <w:numPr>
          <w:ilvl w:val="0"/>
          <w:numId w:val="8"/>
        </w:numPr>
        <w:rPr>
          <w:b/>
        </w:rPr>
      </w:pPr>
      <w:r>
        <w:t xml:space="preserve">Attendance only . . . . . . . . . . . . . . . . . . . . . . . . . . . . . . . </w:t>
      </w:r>
      <w:r w:rsidR="00526F5A">
        <w:t xml:space="preserve">. . . . . . . . . . . . . </w:t>
      </w:r>
      <w:r>
        <w:t>up to 75%*</w:t>
      </w:r>
      <w:r w:rsidR="009115AD">
        <w:t xml:space="preserve"> </w:t>
      </w:r>
    </w:p>
    <w:p w:rsidR="006E1059" w:rsidRDefault="00526F5A" w:rsidP="00526F5A">
      <w:pPr>
        <w:numPr>
          <w:ilvl w:val="0"/>
          <w:numId w:val="8"/>
        </w:numPr>
      </w:pPr>
      <w:r>
        <w:t>Online CEU course cost. . . . . . . . . . . . . . . . . . . . . . . . . . .</w:t>
      </w:r>
      <w:r w:rsidR="00054967">
        <w:t xml:space="preserve"> . . . . . . . . . . . .up to </w:t>
      </w:r>
      <w:r>
        <w:t>75%</w:t>
      </w:r>
    </w:p>
    <w:p w:rsidR="00526F5A" w:rsidRDefault="00526F5A" w:rsidP="00526F5A">
      <w:pPr>
        <w:numPr>
          <w:ilvl w:val="0"/>
          <w:numId w:val="8"/>
        </w:numPr>
      </w:pPr>
      <w:r>
        <w:t>Seminars on CD ROM . . . . . . . . . . . . . . . . . .not to exceed 75% of “attending” rate</w:t>
      </w:r>
    </w:p>
    <w:p w:rsidR="00526F5A" w:rsidRDefault="00526F5A" w:rsidP="00526F5A">
      <w:pPr>
        <w:ind w:left="1080"/>
      </w:pPr>
    </w:p>
    <w:p w:rsidR="00856E22" w:rsidRDefault="00856E22" w:rsidP="00856E22">
      <w:pPr>
        <w:numPr>
          <w:ilvl w:val="0"/>
          <w:numId w:val="9"/>
        </w:numPr>
      </w:pPr>
      <w:r>
        <w:t xml:space="preserve">Poster </w:t>
      </w:r>
      <w:r w:rsidR="00795718">
        <w:t xml:space="preserve">production </w:t>
      </w:r>
      <w:r>
        <w:t>and publication costs are NOT reimbursable.</w:t>
      </w:r>
    </w:p>
    <w:p w:rsidR="00856E22" w:rsidRDefault="00856E22" w:rsidP="00856E22"/>
    <w:p w:rsidR="006E1059" w:rsidRPr="00795718" w:rsidRDefault="006E1059" w:rsidP="00856E22">
      <w:pPr>
        <w:numPr>
          <w:ilvl w:val="0"/>
          <w:numId w:val="9"/>
        </w:numPr>
      </w:pPr>
      <w:r>
        <w:t xml:space="preserve">Faculty Professional Travel </w:t>
      </w:r>
      <w:r w:rsidR="00C7691B">
        <w:t>reimbursements</w:t>
      </w:r>
      <w:r>
        <w:t xml:space="preserve"> will </w:t>
      </w:r>
      <w:r w:rsidR="00C7691B">
        <w:t xml:space="preserve">be reviewed and approved (based on funding availability) on a </w:t>
      </w:r>
      <w:r w:rsidRPr="00795718">
        <w:t xml:space="preserve">quarterly </w:t>
      </w:r>
      <w:r w:rsidR="00C7691B">
        <w:t xml:space="preserve">basis </w:t>
      </w:r>
      <w:r w:rsidRPr="00795718">
        <w:t>(March, June, September and December).</w:t>
      </w:r>
      <w:r w:rsidR="003F3632" w:rsidRPr="00795718">
        <w:t xml:space="preserve">  </w:t>
      </w:r>
    </w:p>
    <w:p w:rsidR="00856E22" w:rsidRDefault="00856E22" w:rsidP="0097419F"/>
    <w:p w:rsidR="0097419F" w:rsidRPr="0021792D" w:rsidRDefault="006E1059" w:rsidP="0097419F">
      <w:r>
        <w:rPr>
          <w:u w:val="single"/>
        </w:rPr>
        <w:t>PRIOR TO TRAVEL</w:t>
      </w:r>
    </w:p>
    <w:p w:rsidR="0097419F" w:rsidRDefault="0097419F" w:rsidP="0097419F">
      <w:pPr>
        <w:rPr>
          <w:u w:val="single"/>
        </w:rPr>
      </w:pPr>
    </w:p>
    <w:p w:rsidR="0097419F" w:rsidRDefault="0097419F" w:rsidP="003F3632">
      <w:pPr>
        <w:numPr>
          <w:ilvl w:val="0"/>
          <w:numId w:val="12"/>
        </w:numPr>
      </w:pPr>
      <w:r>
        <w:t xml:space="preserve">A </w:t>
      </w:r>
      <w:r>
        <w:rPr>
          <w:i/>
        </w:rPr>
        <w:t>Faculty Absence Authorization/E</w:t>
      </w:r>
      <w:r w:rsidR="003F3632">
        <w:rPr>
          <w:i/>
        </w:rPr>
        <w:t xml:space="preserve">xpenditure </w:t>
      </w:r>
      <w:r>
        <w:rPr>
          <w:i/>
        </w:rPr>
        <w:t xml:space="preserve">Estimate </w:t>
      </w:r>
      <w:r w:rsidR="00603F77">
        <w:t xml:space="preserve">form, </w:t>
      </w:r>
      <w:r w:rsidR="00863702">
        <w:t>available in the Assistant Dean’s office</w:t>
      </w:r>
      <w:r w:rsidR="00603F77">
        <w:t xml:space="preserve"> or online at</w:t>
      </w:r>
      <w:r w:rsidR="00603F77" w:rsidRPr="000B63B5">
        <w:t>:</w:t>
      </w:r>
      <w:r w:rsidR="000B63B5">
        <w:t xml:space="preserve">  </w:t>
      </w:r>
      <w:hyperlink r:id="rId9" w:tooltip="Kent State University at Ashtabula Faculty Resources page" w:history="1">
        <w:r w:rsidR="000B63B5">
          <w:rPr>
            <w:rStyle w:val="Hyperlink"/>
          </w:rPr>
          <w:t>http://www.kent.edu/ashtabula/facu</w:t>
        </w:r>
        <w:r w:rsidR="000B63B5">
          <w:rPr>
            <w:rStyle w:val="Hyperlink"/>
          </w:rPr>
          <w:t>l</w:t>
        </w:r>
        <w:r w:rsidR="000B63B5">
          <w:rPr>
            <w:rStyle w:val="Hyperlink"/>
          </w:rPr>
          <w:t>ty-r</w:t>
        </w:r>
        <w:r w:rsidR="000B63B5">
          <w:rPr>
            <w:rStyle w:val="Hyperlink"/>
          </w:rPr>
          <w:t>e</w:t>
        </w:r>
        <w:r w:rsidR="000B63B5">
          <w:rPr>
            <w:rStyle w:val="Hyperlink"/>
          </w:rPr>
          <w:t>sources</w:t>
        </w:r>
      </w:hyperlink>
      <w:r w:rsidR="00603F77">
        <w:t xml:space="preserve"> </w:t>
      </w:r>
      <w:r w:rsidRPr="002D4B3B">
        <w:rPr>
          <w:b/>
        </w:rPr>
        <w:t>must</w:t>
      </w:r>
      <w:r>
        <w:t xml:space="preserve"> be completed </w:t>
      </w:r>
      <w:r w:rsidR="007B2BB4">
        <w:t xml:space="preserve">and submitted to the </w:t>
      </w:r>
      <w:r w:rsidR="002D4B3B" w:rsidRPr="00795718">
        <w:t>Assistant Dean’s</w:t>
      </w:r>
      <w:r w:rsidR="002D4B3B">
        <w:t xml:space="preserve"> office</w:t>
      </w:r>
      <w:r w:rsidR="00C93234">
        <w:t xml:space="preserve"> </w:t>
      </w:r>
      <w:r w:rsidRPr="008A6D01">
        <w:rPr>
          <w:b/>
        </w:rPr>
        <w:t>prior</w:t>
      </w:r>
      <w:r>
        <w:t xml:space="preserve"> to travel.  </w:t>
      </w:r>
      <w:r w:rsidR="00C7718A">
        <w:t>This</w:t>
      </w:r>
      <w:r w:rsidR="00CB3CD0">
        <w:t xml:space="preserve"> is the only documentation that shows you are on University business.</w:t>
      </w:r>
    </w:p>
    <w:p w:rsidR="003F3632" w:rsidRDefault="003F3632" w:rsidP="003F3632"/>
    <w:p w:rsidR="003F3632" w:rsidRDefault="008C48C3" w:rsidP="003F3632">
      <w:pPr>
        <w:numPr>
          <w:ilvl w:val="0"/>
          <w:numId w:val="12"/>
        </w:numPr>
      </w:pPr>
      <w:r>
        <w:t>The traveler</w:t>
      </w:r>
      <w:r w:rsidR="003F3632">
        <w:t xml:space="preserve"> complete</w:t>
      </w:r>
      <w:r w:rsidR="00603F77">
        <w:t>s</w:t>
      </w:r>
      <w:r w:rsidR="003F3632">
        <w:t xml:space="preserve"> Sections 1 and 2</w:t>
      </w:r>
      <w:r>
        <w:t>; please be thorough</w:t>
      </w:r>
      <w:r w:rsidR="003F3632">
        <w:t xml:space="preserve">.  </w:t>
      </w:r>
      <w:r w:rsidR="00603F77">
        <w:t>I</w:t>
      </w:r>
      <w:r w:rsidR="003F3632">
        <w:t>nclude the dates of absence, the name of the conference or program</w:t>
      </w:r>
      <w:r w:rsidR="007C4C3C">
        <w:t>, a copy of the program brochure or a link to the conference webpage</w:t>
      </w:r>
      <w:r w:rsidR="003F3632">
        <w:t xml:space="preserve"> and an estimation of all travel-related expenditures.  The University’s travel policy, current mileage and per diem rates (for completing the expenditure estimate) can be found at </w:t>
      </w:r>
      <w:hyperlink r:id="rId10" w:tooltip="Kent State University Procurement" w:history="1">
        <w:r w:rsidR="003F3632" w:rsidRPr="001E6A89">
          <w:rPr>
            <w:rStyle w:val="Hyperlink"/>
          </w:rPr>
          <w:t>www.kent.edu/procu</w:t>
        </w:r>
        <w:r w:rsidR="003F3632" w:rsidRPr="001E6A89">
          <w:rPr>
            <w:rStyle w:val="Hyperlink"/>
          </w:rPr>
          <w:t>r</w:t>
        </w:r>
        <w:r w:rsidR="003F3632" w:rsidRPr="001E6A89">
          <w:rPr>
            <w:rStyle w:val="Hyperlink"/>
          </w:rPr>
          <w:t>ement</w:t>
        </w:r>
      </w:hyperlink>
      <w:r w:rsidR="003F3632">
        <w:t xml:space="preserve">, click on </w:t>
      </w:r>
      <w:r w:rsidR="000B63B5">
        <w:rPr>
          <w:i/>
        </w:rPr>
        <w:t>Travel.</w:t>
      </w:r>
    </w:p>
    <w:p w:rsidR="002D4B3B" w:rsidRDefault="002D4B3B" w:rsidP="002D4B3B">
      <w:pPr>
        <w:ind w:left="360"/>
      </w:pPr>
    </w:p>
    <w:p w:rsidR="000716F5" w:rsidRDefault="000716F5" w:rsidP="000716F5">
      <w:pPr>
        <w:ind w:left="720"/>
      </w:pPr>
    </w:p>
    <w:p w:rsidR="000716F5" w:rsidRDefault="000716F5" w:rsidP="000716F5">
      <w:pPr>
        <w:pStyle w:val="ListParagraph"/>
      </w:pPr>
    </w:p>
    <w:p w:rsidR="0097419F" w:rsidRDefault="0097419F" w:rsidP="009115AD">
      <w:pPr>
        <w:numPr>
          <w:ilvl w:val="0"/>
          <w:numId w:val="12"/>
        </w:numPr>
      </w:pPr>
      <w:r>
        <w:t>The title of your paper/presentation, if you are givi</w:t>
      </w:r>
      <w:r w:rsidR="009115AD">
        <w:t>ng one, should be provided.  In</w:t>
      </w:r>
      <w:r w:rsidR="009115AD">
        <w:br/>
      </w:r>
      <w:r w:rsidR="00795718">
        <w:t>a</w:t>
      </w:r>
      <w:r w:rsidR="00863702">
        <w:t xml:space="preserve">ddition, </w:t>
      </w:r>
      <w:r>
        <w:t>information regarding the benefits of your participation</w:t>
      </w:r>
      <w:r w:rsidR="007B2BB4">
        <w:t>/attendance</w:t>
      </w:r>
      <w:r w:rsidR="009115AD">
        <w:br/>
      </w:r>
      <w:r w:rsidR="00795718">
        <w:t>is to</w:t>
      </w:r>
      <w:r w:rsidR="007B2BB4">
        <w:t xml:space="preserve"> be </w:t>
      </w:r>
      <w:r>
        <w:t>included.</w:t>
      </w:r>
      <w:r w:rsidR="00CE1EDE">
        <w:t xml:space="preserve">  This information can be provided on a separate attachment.</w:t>
      </w:r>
    </w:p>
    <w:p w:rsidR="0097419F" w:rsidRDefault="0097419F" w:rsidP="0097419F">
      <w:pPr>
        <w:ind w:left="360"/>
      </w:pPr>
    </w:p>
    <w:p w:rsidR="008A6D01" w:rsidRDefault="008A6D01" w:rsidP="00B3204C">
      <w:pPr>
        <w:numPr>
          <w:ilvl w:val="0"/>
          <w:numId w:val="3"/>
        </w:numPr>
      </w:pPr>
      <w:r>
        <w:t>Additional funding sources, if applicable, should b</w:t>
      </w:r>
      <w:r w:rsidR="009115AD">
        <w:t xml:space="preserve">e indicated.  Possible funding </w:t>
      </w:r>
      <w:r w:rsidR="009115AD">
        <w:br/>
      </w:r>
      <w:r>
        <w:t>sources include UTC, Research Council a</w:t>
      </w:r>
      <w:r w:rsidR="00B3204C">
        <w:t>nd the Professional Development</w:t>
      </w:r>
      <w:r w:rsidR="00B3204C">
        <w:br/>
      </w:r>
      <w:r>
        <w:t>Center.</w:t>
      </w:r>
    </w:p>
    <w:p w:rsidR="008A6D01" w:rsidRDefault="008A6D01" w:rsidP="007E6A42"/>
    <w:p w:rsidR="007F7B9F" w:rsidRDefault="007F7B9F" w:rsidP="007F7B9F">
      <w:pPr>
        <w:rPr>
          <w:b/>
          <w:u w:val="single"/>
        </w:rPr>
      </w:pPr>
      <w:r>
        <w:rPr>
          <w:b/>
          <w:u w:val="single"/>
        </w:rPr>
        <w:t>ONLINE SUBMISSION OF EXPENSE REIMBURSEMENTS</w:t>
      </w:r>
    </w:p>
    <w:p w:rsidR="007F7B9F" w:rsidRDefault="007F7B9F" w:rsidP="007F7B9F">
      <w:pPr>
        <w:rPr>
          <w:b/>
          <w:u w:val="single"/>
        </w:rPr>
      </w:pPr>
    </w:p>
    <w:p w:rsidR="0033680F" w:rsidRPr="00526F5A" w:rsidRDefault="007F7B9F" w:rsidP="0033680F">
      <w:pPr>
        <w:numPr>
          <w:ilvl w:val="0"/>
          <w:numId w:val="14"/>
        </w:numPr>
        <w:rPr>
          <w:i/>
        </w:rPr>
      </w:pPr>
      <w:r>
        <w:t xml:space="preserve">Upon completion of travel, an online Expense Reimbursement request must be completed by the traveler or designee.  This online application is available via </w:t>
      </w:r>
      <w:proofErr w:type="spellStart"/>
      <w:r w:rsidR="007C4C3C">
        <w:rPr>
          <w:b/>
        </w:rPr>
        <w:t>Flashl</w:t>
      </w:r>
      <w:r w:rsidRPr="00D91700">
        <w:rPr>
          <w:b/>
        </w:rPr>
        <w:t>ine</w:t>
      </w:r>
      <w:proofErr w:type="spellEnd"/>
      <w:r>
        <w:t xml:space="preserve">, in the Travel and Expense Reimbursement channel under the </w:t>
      </w:r>
      <w:r w:rsidRPr="005833E5">
        <w:rPr>
          <w:b/>
        </w:rPr>
        <w:t>My HR</w:t>
      </w:r>
      <w:r>
        <w:t xml:space="preserve"> tab. </w:t>
      </w:r>
    </w:p>
    <w:p w:rsidR="00526F5A" w:rsidRDefault="00526F5A" w:rsidP="00526F5A"/>
    <w:p w:rsidR="00526F5A" w:rsidRPr="0033680F" w:rsidRDefault="00526F5A" w:rsidP="00526F5A">
      <w:pPr>
        <w:numPr>
          <w:ilvl w:val="0"/>
          <w:numId w:val="16"/>
        </w:numPr>
        <w:rPr>
          <w:i/>
        </w:rPr>
      </w:pPr>
      <w:r>
        <w:t>For online courses or seminars on CD, please see Business Office for guidance.</w:t>
      </w:r>
    </w:p>
    <w:p w:rsidR="0033680F" w:rsidRPr="0033680F" w:rsidRDefault="0033680F" w:rsidP="0033680F">
      <w:pPr>
        <w:ind w:left="720"/>
        <w:rPr>
          <w:i/>
        </w:rPr>
      </w:pPr>
    </w:p>
    <w:p w:rsidR="0033680F" w:rsidRPr="0033680F" w:rsidRDefault="007F7B9F" w:rsidP="0033680F">
      <w:pPr>
        <w:numPr>
          <w:ilvl w:val="0"/>
          <w:numId w:val="14"/>
        </w:numPr>
        <w:rPr>
          <w:i/>
        </w:rPr>
      </w:pPr>
      <w:r>
        <w:t>Enter the required information for each expense item.  Per Diem amounts will be calculated based on the destination city</w:t>
      </w:r>
      <w:r>
        <w:rPr>
          <w:b/>
        </w:rPr>
        <w:t xml:space="preserve">.  </w:t>
      </w:r>
    </w:p>
    <w:p w:rsidR="0033680F" w:rsidRDefault="0033680F" w:rsidP="0033680F">
      <w:pPr>
        <w:pStyle w:val="ListParagraph"/>
      </w:pPr>
    </w:p>
    <w:p w:rsidR="0033680F" w:rsidRPr="0033680F" w:rsidRDefault="007F7B9F" w:rsidP="0033680F">
      <w:pPr>
        <w:numPr>
          <w:ilvl w:val="0"/>
          <w:numId w:val="14"/>
        </w:numPr>
        <w:rPr>
          <w:i/>
        </w:rPr>
      </w:pPr>
      <w:r>
        <w:t xml:space="preserve">When the Expense Reimbursement is complete please click on “Send to Reviewer” and choose </w:t>
      </w:r>
      <w:r w:rsidR="000A31AD" w:rsidRPr="000A31AD">
        <w:rPr>
          <w:b/>
        </w:rPr>
        <w:t>Jodi Nieves</w:t>
      </w:r>
      <w:r>
        <w:t xml:space="preserve">.  </w:t>
      </w:r>
    </w:p>
    <w:p w:rsidR="0033680F" w:rsidRDefault="0033680F" w:rsidP="0033680F">
      <w:pPr>
        <w:pStyle w:val="ListParagraph"/>
        <w:rPr>
          <w:b/>
          <w:highlight w:val="yellow"/>
        </w:rPr>
      </w:pPr>
    </w:p>
    <w:p w:rsidR="0033680F" w:rsidRPr="007C4C3C" w:rsidRDefault="007F7B9F" w:rsidP="0033680F">
      <w:pPr>
        <w:numPr>
          <w:ilvl w:val="0"/>
          <w:numId w:val="14"/>
        </w:numPr>
        <w:rPr>
          <w:i/>
        </w:rPr>
      </w:pPr>
      <w:r w:rsidRPr="00696BD2">
        <w:rPr>
          <w:b/>
          <w:highlight w:val="yellow"/>
        </w:rPr>
        <w:t>ORIGINAL, DETAILED</w:t>
      </w:r>
      <w:r w:rsidRPr="00696BD2">
        <w:rPr>
          <w:highlight w:val="yellow"/>
        </w:rPr>
        <w:t xml:space="preserve"> </w:t>
      </w:r>
      <w:r w:rsidRPr="0052378C">
        <w:t>receipts</w:t>
      </w:r>
      <w:r>
        <w:t xml:space="preserve"> for expenditures must be forwarded to the Business Office along with a printed copy of the reimbursement request.  </w:t>
      </w:r>
    </w:p>
    <w:p w:rsidR="007C4C3C" w:rsidRPr="0033680F" w:rsidRDefault="007C4C3C" w:rsidP="007C4C3C">
      <w:pPr>
        <w:rPr>
          <w:i/>
        </w:rPr>
      </w:pPr>
    </w:p>
    <w:p w:rsidR="007C4C3C" w:rsidRDefault="007C4C3C" w:rsidP="007C4C3C">
      <w:pPr>
        <w:numPr>
          <w:ilvl w:val="0"/>
          <w:numId w:val="14"/>
        </w:numPr>
      </w:pPr>
      <w:r w:rsidRPr="00603F77">
        <w:rPr>
          <w:b/>
        </w:rPr>
        <w:t>University Auditing requires that a copy of the conference program</w:t>
      </w:r>
      <w:r>
        <w:rPr>
          <w:b/>
        </w:rPr>
        <w:t>/brochure/ webpage</w:t>
      </w:r>
      <w:r w:rsidRPr="00603F77">
        <w:rPr>
          <w:b/>
        </w:rPr>
        <w:t xml:space="preserve"> </w:t>
      </w:r>
      <w:r>
        <w:rPr>
          <w:b/>
        </w:rPr>
        <w:t>detailing</w:t>
      </w:r>
      <w:r w:rsidRPr="00603F77">
        <w:rPr>
          <w:b/>
        </w:rPr>
        <w:t xml:space="preserve"> what is included in the fees</w:t>
      </w:r>
      <w:r>
        <w:rPr>
          <w:b/>
        </w:rPr>
        <w:t xml:space="preserve"> be submitted with the reimbursement request</w:t>
      </w:r>
      <w:r>
        <w:t xml:space="preserve">.  </w:t>
      </w:r>
    </w:p>
    <w:p w:rsidR="007C4C3C" w:rsidRDefault="007C4C3C" w:rsidP="007C4C3C">
      <w:pPr>
        <w:ind w:left="720"/>
      </w:pPr>
      <w:bookmarkStart w:id="0" w:name="_GoBack"/>
      <w:bookmarkEnd w:id="0"/>
    </w:p>
    <w:p w:rsidR="000D435E" w:rsidRPr="009115AD" w:rsidRDefault="007F7B9F" w:rsidP="007E6A42">
      <w:pPr>
        <w:numPr>
          <w:ilvl w:val="0"/>
          <w:numId w:val="14"/>
        </w:numPr>
        <w:rPr>
          <w:i/>
        </w:rPr>
      </w:pPr>
      <w:r>
        <w:t>The Faculty Professional Travel Expense Reimbursement requests will be verifie</w:t>
      </w:r>
      <w:r w:rsidR="00863702">
        <w:t xml:space="preserve">d against the original </w:t>
      </w:r>
      <w:r w:rsidR="00863702" w:rsidRPr="00795718">
        <w:t>receipts</w:t>
      </w:r>
      <w:r w:rsidRPr="00795718">
        <w:t xml:space="preserve"> </w:t>
      </w:r>
      <w:r w:rsidR="00863702" w:rsidRPr="00795718">
        <w:t xml:space="preserve">and approvals processed based on the submission schedule (Mar, June, Sept, </w:t>
      </w:r>
      <w:proofErr w:type="gramStart"/>
      <w:r w:rsidR="00863702" w:rsidRPr="00795718">
        <w:t>Dec</w:t>
      </w:r>
      <w:proofErr w:type="gramEnd"/>
      <w:r w:rsidR="00863702" w:rsidRPr="00795718">
        <w:t>) provided funding is available.</w:t>
      </w:r>
    </w:p>
    <w:sectPr w:rsidR="000D435E" w:rsidRPr="009115AD" w:rsidSect="00AD3B7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7" w:rsidRDefault="008F45A7">
      <w:r>
        <w:separator/>
      </w:r>
    </w:p>
  </w:endnote>
  <w:endnote w:type="continuationSeparator" w:id="0">
    <w:p w:rsidR="008F45A7" w:rsidRDefault="008F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8A" w:rsidRPr="000716F5" w:rsidRDefault="00C7718A">
    <w:pPr>
      <w:pStyle w:val="Footer"/>
      <w:rPr>
        <w:sz w:val="16"/>
        <w:szCs w:val="16"/>
      </w:rPr>
    </w:pPr>
    <w:r w:rsidRPr="000716F5">
      <w:rPr>
        <w:sz w:val="16"/>
        <w:szCs w:val="16"/>
      </w:rPr>
      <w:t xml:space="preserve">Revised </w:t>
    </w:r>
    <w:r w:rsidR="009B6A51">
      <w:rPr>
        <w:sz w:val="16"/>
        <w:szCs w:val="16"/>
      </w:rPr>
      <w:t>9/16/2016</w:t>
    </w:r>
  </w:p>
  <w:p w:rsidR="00C7718A" w:rsidRDefault="00C7718A">
    <w:pPr>
      <w:pStyle w:val="Foo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ast</w:t>
    </w:r>
    <w:proofErr w:type="spellEnd"/>
    <w:proofErr w:type="gramEnd"/>
  </w:p>
  <w:p w:rsidR="00C7718A" w:rsidRDefault="00C7718A">
    <w:pPr>
      <w:pStyle w:val="Footer"/>
      <w:rPr>
        <w:sz w:val="16"/>
        <w:szCs w:val="16"/>
      </w:rPr>
    </w:pPr>
  </w:p>
  <w:p w:rsidR="009115AD" w:rsidRDefault="009115AD">
    <w:pPr>
      <w:pStyle w:val="Footer"/>
      <w:rPr>
        <w:sz w:val="16"/>
        <w:szCs w:val="16"/>
      </w:rPr>
    </w:pPr>
  </w:p>
  <w:p w:rsidR="009115AD" w:rsidRPr="005210A1" w:rsidRDefault="009115A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7" w:rsidRDefault="008F45A7">
      <w:r>
        <w:separator/>
      </w:r>
    </w:p>
  </w:footnote>
  <w:footnote w:type="continuationSeparator" w:id="0">
    <w:p w:rsidR="008F45A7" w:rsidRDefault="008F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3E"/>
    <w:multiLevelType w:val="hybridMultilevel"/>
    <w:tmpl w:val="77CC712C"/>
    <w:lvl w:ilvl="0" w:tplc="705255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32A6"/>
    <w:multiLevelType w:val="hybridMultilevel"/>
    <w:tmpl w:val="863C1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394C"/>
    <w:multiLevelType w:val="hybridMultilevel"/>
    <w:tmpl w:val="4AAE5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123D"/>
    <w:multiLevelType w:val="hybridMultilevel"/>
    <w:tmpl w:val="16EA7DDA"/>
    <w:lvl w:ilvl="0" w:tplc="3816FB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6605052"/>
    <w:multiLevelType w:val="hybridMultilevel"/>
    <w:tmpl w:val="4EB044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B74F1"/>
    <w:multiLevelType w:val="hybridMultilevel"/>
    <w:tmpl w:val="0C744328"/>
    <w:lvl w:ilvl="0" w:tplc="8FC88682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9CB44BC"/>
    <w:multiLevelType w:val="hybridMultilevel"/>
    <w:tmpl w:val="518E4D64"/>
    <w:lvl w:ilvl="0" w:tplc="543A931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EF0FB5"/>
    <w:multiLevelType w:val="hybridMultilevel"/>
    <w:tmpl w:val="37FA0022"/>
    <w:lvl w:ilvl="0" w:tplc="9ABCA5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ED0179"/>
    <w:multiLevelType w:val="hybridMultilevel"/>
    <w:tmpl w:val="D29E7DAA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E110538"/>
    <w:multiLevelType w:val="hybridMultilevel"/>
    <w:tmpl w:val="EEBC3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289D"/>
    <w:multiLevelType w:val="hybridMultilevel"/>
    <w:tmpl w:val="7100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81020"/>
    <w:multiLevelType w:val="hybridMultilevel"/>
    <w:tmpl w:val="9EF242F2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98A1AAF"/>
    <w:multiLevelType w:val="hybridMultilevel"/>
    <w:tmpl w:val="81307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C5D4C"/>
    <w:multiLevelType w:val="hybridMultilevel"/>
    <w:tmpl w:val="1400A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305F"/>
    <w:multiLevelType w:val="hybridMultilevel"/>
    <w:tmpl w:val="FF18F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E6F5B"/>
    <w:multiLevelType w:val="hybridMultilevel"/>
    <w:tmpl w:val="EBC6946A"/>
    <w:lvl w:ilvl="0" w:tplc="60449A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9F"/>
    <w:rsid w:val="000070AD"/>
    <w:rsid w:val="000315D1"/>
    <w:rsid w:val="000513D0"/>
    <w:rsid w:val="00052673"/>
    <w:rsid w:val="00054967"/>
    <w:rsid w:val="000672C2"/>
    <w:rsid w:val="000716F5"/>
    <w:rsid w:val="00083809"/>
    <w:rsid w:val="000A31AD"/>
    <w:rsid w:val="000B63B5"/>
    <w:rsid w:val="000C2300"/>
    <w:rsid w:val="000D435E"/>
    <w:rsid w:val="000E0523"/>
    <w:rsid w:val="001067EA"/>
    <w:rsid w:val="00204C14"/>
    <w:rsid w:val="0021792D"/>
    <w:rsid w:val="00237561"/>
    <w:rsid w:val="002738D1"/>
    <w:rsid w:val="00275E8F"/>
    <w:rsid w:val="002D4B3B"/>
    <w:rsid w:val="002E3C6A"/>
    <w:rsid w:val="00310124"/>
    <w:rsid w:val="00323095"/>
    <w:rsid w:val="00332A25"/>
    <w:rsid w:val="0033680F"/>
    <w:rsid w:val="00346EAE"/>
    <w:rsid w:val="00361204"/>
    <w:rsid w:val="003F3632"/>
    <w:rsid w:val="00401CAC"/>
    <w:rsid w:val="004525B8"/>
    <w:rsid w:val="00471B48"/>
    <w:rsid w:val="005210A1"/>
    <w:rsid w:val="00524A50"/>
    <w:rsid w:val="00526F5A"/>
    <w:rsid w:val="005638FD"/>
    <w:rsid w:val="00575EB5"/>
    <w:rsid w:val="00581D61"/>
    <w:rsid w:val="005C4A65"/>
    <w:rsid w:val="00603F77"/>
    <w:rsid w:val="00625180"/>
    <w:rsid w:val="0066139F"/>
    <w:rsid w:val="006E09DF"/>
    <w:rsid w:val="006E1059"/>
    <w:rsid w:val="007545D6"/>
    <w:rsid w:val="00795718"/>
    <w:rsid w:val="007B2BB4"/>
    <w:rsid w:val="007C4C3C"/>
    <w:rsid w:val="007E6A42"/>
    <w:rsid w:val="007F7B9F"/>
    <w:rsid w:val="00856E22"/>
    <w:rsid w:val="00863702"/>
    <w:rsid w:val="00873178"/>
    <w:rsid w:val="008A6D01"/>
    <w:rsid w:val="008C48C3"/>
    <w:rsid w:val="008F45A7"/>
    <w:rsid w:val="009115AD"/>
    <w:rsid w:val="00943C7F"/>
    <w:rsid w:val="0097419F"/>
    <w:rsid w:val="009B6A51"/>
    <w:rsid w:val="009F0F49"/>
    <w:rsid w:val="00A90009"/>
    <w:rsid w:val="00A908C7"/>
    <w:rsid w:val="00A93B10"/>
    <w:rsid w:val="00AA706B"/>
    <w:rsid w:val="00AC0A9F"/>
    <w:rsid w:val="00AD3B72"/>
    <w:rsid w:val="00AD759A"/>
    <w:rsid w:val="00B3204C"/>
    <w:rsid w:val="00B37679"/>
    <w:rsid w:val="00B90706"/>
    <w:rsid w:val="00C11BE6"/>
    <w:rsid w:val="00C41060"/>
    <w:rsid w:val="00C62457"/>
    <w:rsid w:val="00C65D59"/>
    <w:rsid w:val="00C7691B"/>
    <w:rsid w:val="00C7718A"/>
    <w:rsid w:val="00C93234"/>
    <w:rsid w:val="00C96175"/>
    <w:rsid w:val="00CA7A5F"/>
    <w:rsid w:val="00CB3CD0"/>
    <w:rsid w:val="00CC3209"/>
    <w:rsid w:val="00CC53AE"/>
    <w:rsid w:val="00CE1EDE"/>
    <w:rsid w:val="00CE3EE8"/>
    <w:rsid w:val="00D00D38"/>
    <w:rsid w:val="00D61ABB"/>
    <w:rsid w:val="00D61BEC"/>
    <w:rsid w:val="00DA1933"/>
    <w:rsid w:val="00E07FA8"/>
    <w:rsid w:val="00E33DA5"/>
    <w:rsid w:val="00E3462B"/>
    <w:rsid w:val="00E93C93"/>
    <w:rsid w:val="00EB033A"/>
    <w:rsid w:val="00F11034"/>
    <w:rsid w:val="00F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70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3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80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716F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B6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70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3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80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716F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B6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ent.edu/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t.edu/ashtabula/facult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KSUA</Company>
  <LinksUpToDate>false</LinksUpToDate>
  <CharactersWithSpaces>4130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http://www.kent.edu/procurement</vt:lpwstr>
      </vt:variant>
      <vt:variant>
        <vt:lpwstr/>
      </vt:variant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http://www.ashtabula.kent.edu/businessservices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Salyer, Sarah</cp:lastModifiedBy>
  <cp:revision>4</cp:revision>
  <cp:lastPrinted>2011-08-16T16:42:00Z</cp:lastPrinted>
  <dcterms:created xsi:type="dcterms:W3CDTF">2012-08-20T19:52:00Z</dcterms:created>
  <dcterms:modified xsi:type="dcterms:W3CDTF">2017-08-08T16:50:00Z</dcterms:modified>
</cp:coreProperties>
</file>