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C9066" w14:textId="26556916" w:rsidR="004D6BED" w:rsidRPr="001B5DC7" w:rsidRDefault="004D6BED" w:rsidP="004D6BED">
      <w:pPr>
        <w:pStyle w:val="Title"/>
        <w:ind w:left="0"/>
        <w:rPr>
          <w:rFonts w:asciiTheme="minorHAnsi" w:hAnsiTheme="minorHAnsi"/>
          <w:sz w:val="20"/>
          <w:szCs w:val="20"/>
        </w:rPr>
      </w:pPr>
      <w:bookmarkStart w:id="0" w:name="_GoBack"/>
      <w:bookmarkEnd w:id="0"/>
      <w:r w:rsidRPr="001B5DC7">
        <w:rPr>
          <w:rFonts w:asciiTheme="minorHAnsi" w:hAnsiTheme="minorHAnsi"/>
          <w:sz w:val="20"/>
          <w:szCs w:val="20"/>
        </w:rPr>
        <w:t>VARI-EPP: Valid and Reliable Instruments for Educator Preparation Programs -</w:t>
      </w:r>
    </w:p>
    <w:p w14:paraId="0A8C8807" w14:textId="77777777" w:rsidR="00FE6F0A" w:rsidRPr="001B5DC7" w:rsidRDefault="004D6BED" w:rsidP="004D6BED">
      <w:pPr>
        <w:pStyle w:val="Title"/>
        <w:ind w:left="0"/>
        <w:rPr>
          <w:rFonts w:asciiTheme="minorHAnsi" w:hAnsiTheme="minorHAnsi"/>
          <w:sz w:val="20"/>
          <w:szCs w:val="20"/>
        </w:rPr>
      </w:pPr>
      <w:r w:rsidRPr="001B5DC7">
        <w:rPr>
          <w:rFonts w:asciiTheme="minorHAnsi" w:hAnsiTheme="minorHAnsi"/>
          <w:sz w:val="20"/>
          <w:szCs w:val="20"/>
        </w:rPr>
        <w:t>A Statewide Model</w:t>
      </w:r>
    </w:p>
    <w:p w14:paraId="4C4B2878" w14:textId="77777777" w:rsidR="00FE6F0A" w:rsidRPr="001B5DC7" w:rsidRDefault="00FE6F0A" w:rsidP="004D6BED">
      <w:pPr>
        <w:ind w:right="-360"/>
        <w:rPr>
          <w:rFonts w:asciiTheme="minorHAnsi" w:hAnsiTheme="minorHAnsi"/>
          <w:sz w:val="20"/>
          <w:szCs w:val="20"/>
        </w:rPr>
      </w:pPr>
    </w:p>
    <w:p w14:paraId="7A5C58B6" w14:textId="77777777" w:rsidR="00FE6F0A" w:rsidRPr="001B5DC7" w:rsidRDefault="00FE6F0A" w:rsidP="00B834B1">
      <w:pPr>
        <w:pStyle w:val="Heading1"/>
        <w:ind w:hanging="720"/>
        <w:rPr>
          <w:rFonts w:asciiTheme="minorHAnsi" w:hAnsiTheme="minorHAnsi"/>
          <w:sz w:val="20"/>
          <w:szCs w:val="20"/>
        </w:rPr>
      </w:pPr>
      <w:r w:rsidRPr="001B5DC7">
        <w:rPr>
          <w:rFonts w:asciiTheme="minorHAnsi" w:hAnsiTheme="minorHAnsi"/>
          <w:sz w:val="20"/>
          <w:szCs w:val="20"/>
        </w:rPr>
        <w:t xml:space="preserve">Objectives </w:t>
      </w:r>
    </w:p>
    <w:p w14:paraId="43C42525" w14:textId="77777777" w:rsidR="008A189D" w:rsidRPr="001B5DC7" w:rsidRDefault="008A189D" w:rsidP="008A189D">
      <w:pPr>
        <w:rPr>
          <w:rFonts w:asciiTheme="minorHAnsi" w:hAnsiTheme="minorHAnsi"/>
          <w:b/>
          <w:sz w:val="20"/>
          <w:szCs w:val="20"/>
        </w:rPr>
      </w:pPr>
      <w:r w:rsidRPr="001B5DC7">
        <w:rPr>
          <w:rFonts w:asciiTheme="minorHAnsi" w:hAnsiTheme="minorHAnsi"/>
          <w:b/>
          <w:sz w:val="20"/>
          <w:szCs w:val="20"/>
        </w:rPr>
        <w:t>The purpose of the study (research questions and / or study objectives) should be clearly and succinctly stated. In experimental designs, objectives will be stated as hypotheses to be tested.</w:t>
      </w:r>
    </w:p>
    <w:p w14:paraId="56D1CCFD" w14:textId="77777777" w:rsidR="008A189D" w:rsidRPr="001B5DC7" w:rsidRDefault="008A189D" w:rsidP="008A189D">
      <w:pPr>
        <w:rPr>
          <w:rFonts w:asciiTheme="minorHAnsi" w:hAnsiTheme="minorHAnsi"/>
          <w:sz w:val="20"/>
          <w:szCs w:val="20"/>
        </w:rPr>
      </w:pPr>
    </w:p>
    <w:p w14:paraId="49B1E9DD" w14:textId="3019D0E4" w:rsidR="00FE6F0A" w:rsidRPr="001B5DC7" w:rsidRDefault="00755BD8" w:rsidP="00B834B1">
      <w:pPr>
        <w:ind w:right="-360"/>
        <w:rPr>
          <w:rFonts w:asciiTheme="minorHAnsi" w:hAnsiTheme="minorHAnsi"/>
          <w:sz w:val="20"/>
          <w:szCs w:val="20"/>
        </w:rPr>
      </w:pPr>
      <w:r w:rsidRPr="001B5DC7">
        <w:rPr>
          <w:rFonts w:asciiTheme="minorHAnsi" w:hAnsiTheme="minorHAnsi"/>
          <w:sz w:val="20"/>
          <w:szCs w:val="20"/>
        </w:rPr>
        <w:t>The purpose of this</w:t>
      </w:r>
      <w:r w:rsidR="00FE6F0A" w:rsidRPr="001B5DC7">
        <w:rPr>
          <w:rFonts w:asciiTheme="minorHAnsi" w:hAnsiTheme="minorHAnsi"/>
          <w:sz w:val="20"/>
          <w:szCs w:val="20"/>
        </w:rPr>
        <w:t xml:space="preserve"> study</w:t>
      </w:r>
      <w:r w:rsidR="00733AD3" w:rsidRPr="001B5DC7">
        <w:rPr>
          <w:rFonts w:asciiTheme="minorHAnsi" w:hAnsiTheme="minorHAnsi"/>
          <w:sz w:val="20"/>
          <w:szCs w:val="20"/>
        </w:rPr>
        <w:t xml:space="preserve"> is to </w:t>
      </w:r>
      <w:r w:rsidRPr="001B5DC7">
        <w:rPr>
          <w:rFonts w:asciiTheme="minorHAnsi" w:hAnsiTheme="minorHAnsi"/>
          <w:sz w:val="20"/>
          <w:szCs w:val="20"/>
        </w:rPr>
        <w:t>examine</w:t>
      </w:r>
      <w:r w:rsidR="00733AD3" w:rsidRPr="001B5DC7">
        <w:rPr>
          <w:rFonts w:asciiTheme="minorHAnsi" w:hAnsiTheme="minorHAnsi"/>
          <w:sz w:val="20"/>
          <w:szCs w:val="20"/>
        </w:rPr>
        <w:t xml:space="preserve"> the validity and reliability of three</w:t>
      </w:r>
      <w:r w:rsidRPr="001B5DC7">
        <w:rPr>
          <w:rFonts w:asciiTheme="minorHAnsi" w:hAnsiTheme="minorHAnsi"/>
          <w:sz w:val="20"/>
          <w:szCs w:val="20"/>
        </w:rPr>
        <w:t xml:space="preserve"> unit-wide</w:t>
      </w:r>
      <w:r w:rsidR="00733AD3" w:rsidRPr="001B5DC7">
        <w:rPr>
          <w:rFonts w:asciiTheme="minorHAnsi" w:hAnsiTheme="minorHAnsi"/>
          <w:sz w:val="20"/>
          <w:szCs w:val="20"/>
        </w:rPr>
        <w:t xml:space="preserve"> evaluation instruments used</w:t>
      </w:r>
      <w:r w:rsidR="000E48B9" w:rsidRPr="001B5DC7">
        <w:rPr>
          <w:rFonts w:asciiTheme="minorHAnsi" w:hAnsiTheme="minorHAnsi"/>
          <w:sz w:val="20"/>
          <w:szCs w:val="20"/>
        </w:rPr>
        <w:t xml:space="preserve"> during student teaching</w:t>
      </w:r>
      <w:r w:rsidR="00733AD3" w:rsidRPr="001B5DC7">
        <w:rPr>
          <w:rFonts w:asciiTheme="minorHAnsi" w:hAnsiTheme="minorHAnsi"/>
          <w:sz w:val="20"/>
          <w:szCs w:val="20"/>
        </w:rPr>
        <w:t xml:space="preserve">. </w:t>
      </w:r>
      <w:r w:rsidR="000E48B9" w:rsidRPr="001B5DC7">
        <w:rPr>
          <w:rFonts w:asciiTheme="minorHAnsi" w:hAnsiTheme="minorHAnsi"/>
          <w:sz w:val="20"/>
          <w:szCs w:val="20"/>
        </w:rPr>
        <w:t xml:space="preserve">These instruments include a </w:t>
      </w:r>
      <w:r w:rsidR="00F87E70" w:rsidRPr="001B5DC7">
        <w:rPr>
          <w:rFonts w:asciiTheme="minorHAnsi" w:hAnsiTheme="minorHAnsi"/>
          <w:sz w:val="20"/>
          <w:szCs w:val="20"/>
        </w:rPr>
        <w:t xml:space="preserve">student teaching pedagogy evaluation, a dispositions evaluation, and subject-specific student teaching assessments (i.e., the </w:t>
      </w:r>
      <w:r w:rsidRPr="001B5DC7">
        <w:rPr>
          <w:rFonts w:asciiTheme="minorHAnsi" w:hAnsiTheme="minorHAnsi"/>
          <w:sz w:val="20"/>
          <w:szCs w:val="20"/>
        </w:rPr>
        <w:t xml:space="preserve">observation </w:t>
      </w:r>
      <w:r w:rsidR="00F87E70" w:rsidRPr="001B5DC7">
        <w:rPr>
          <w:rFonts w:asciiTheme="minorHAnsi" w:hAnsiTheme="minorHAnsi"/>
          <w:sz w:val="20"/>
          <w:szCs w:val="20"/>
        </w:rPr>
        <w:t xml:space="preserve">evaluation for </w:t>
      </w:r>
      <w:proofErr w:type="spellStart"/>
      <w:r w:rsidR="00F87E70" w:rsidRPr="001B5DC7">
        <w:rPr>
          <w:rFonts w:asciiTheme="minorHAnsi" w:hAnsiTheme="minorHAnsi"/>
          <w:sz w:val="20"/>
          <w:szCs w:val="20"/>
        </w:rPr>
        <w:t>preservice</w:t>
      </w:r>
      <w:proofErr w:type="spellEnd"/>
      <w:r w:rsidR="00F87E70" w:rsidRPr="001B5DC7">
        <w:rPr>
          <w:rFonts w:asciiTheme="minorHAnsi" w:hAnsiTheme="minorHAnsi"/>
          <w:sz w:val="20"/>
          <w:szCs w:val="20"/>
        </w:rPr>
        <w:t xml:space="preserve"> </w:t>
      </w:r>
      <w:r w:rsidR="009A1D71" w:rsidRPr="001B5DC7">
        <w:rPr>
          <w:rFonts w:asciiTheme="minorHAnsi" w:hAnsiTheme="minorHAnsi"/>
          <w:sz w:val="20"/>
          <w:szCs w:val="20"/>
        </w:rPr>
        <w:t>m</w:t>
      </w:r>
      <w:r w:rsidR="00F87E70" w:rsidRPr="001B5DC7">
        <w:rPr>
          <w:rFonts w:asciiTheme="minorHAnsi" w:hAnsiTheme="minorHAnsi"/>
          <w:sz w:val="20"/>
          <w:szCs w:val="20"/>
        </w:rPr>
        <w:t xml:space="preserve">athematics teachers that was created to meet the requirements of the National Council of Teachers of Mathematics, which is the Specialized Professional Association for this content area). </w:t>
      </w:r>
      <w:r w:rsidR="00311B8E" w:rsidRPr="001B5DC7">
        <w:rPr>
          <w:rFonts w:asciiTheme="minorHAnsi" w:hAnsiTheme="minorHAnsi"/>
          <w:sz w:val="20"/>
          <w:szCs w:val="20"/>
        </w:rPr>
        <w:t>Through the studies described in this proposal, we hope to answer the following questions:</w:t>
      </w:r>
    </w:p>
    <w:p w14:paraId="4965A8F6" w14:textId="696F8E12" w:rsidR="00311B8E" w:rsidRPr="001B5DC7" w:rsidRDefault="00311B8E" w:rsidP="00311B8E">
      <w:pPr>
        <w:numPr>
          <w:ilvl w:val="0"/>
          <w:numId w:val="14"/>
        </w:numPr>
        <w:ind w:right="-360"/>
        <w:rPr>
          <w:rFonts w:asciiTheme="minorHAnsi" w:hAnsiTheme="minorHAnsi"/>
          <w:sz w:val="20"/>
          <w:szCs w:val="20"/>
        </w:rPr>
      </w:pPr>
      <w:r w:rsidRPr="001B5DC7">
        <w:rPr>
          <w:rFonts w:asciiTheme="minorHAnsi" w:hAnsiTheme="minorHAnsi"/>
          <w:sz w:val="20"/>
          <w:szCs w:val="20"/>
        </w:rPr>
        <w:t>Are the student teaching evaluation</w:t>
      </w:r>
      <w:r w:rsidR="009F7397" w:rsidRPr="001B5DC7">
        <w:rPr>
          <w:rFonts w:asciiTheme="minorHAnsi" w:hAnsiTheme="minorHAnsi"/>
          <w:sz w:val="20"/>
          <w:szCs w:val="20"/>
        </w:rPr>
        <w:t xml:space="preserve"> instruments </w:t>
      </w:r>
      <w:r w:rsidRPr="001B5DC7">
        <w:rPr>
          <w:rFonts w:asciiTheme="minorHAnsi" w:hAnsiTheme="minorHAnsi"/>
          <w:sz w:val="20"/>
          <w:szCs w:val="20"/>
        </w:rPr>
        <w:t xml:space="preserve">valid? Specifically, what are the results of construct, content, and </w:t>
      </w:r>
      <w:r w:rsidR="00965109" w:rsidRPr="001B5DC7">
        <w:rPr>
          <w:rFonts w:asciiTheme="minorHAnsi" w:hAnsiTheme="minorHAnsi"/>
          <w:sz w:val="20"/>
          <w:szCs w:val="20"/>
        </w:rPr>
        <w:t>concurrent</w:t>
      </w:r>
      <w:r w:rsidRPr="001B5DC7">
        <w:rPr>
          <w:rFonts w:asciiTheme="minorHAnsi" w:hAnsiTheme="minorHAnsi"/>
          <w:sz w:val="20"/>
          <w:szCs w:val="20"/>
        </w:rPr>
        <w:t xml:space="preserve"> validity studies?</w:t>
      </w:r>
    </w:p>
    <w:p w14:paraId="5C0FD1DD" w14:textId="77AA412C" w:rsidR="00311B8E" w:rsidRPr="001B5DC7" w:rsidRDefault="00311B8E" w:rsidP="00311B8E">
      <w:pPr>
        <w:numPr>
          <w:ilvl w:val="0"/>
          <w:numId w:val="14"/>
        </w:numPr>
        <w:ind w:right="-360"/>
        <w:rPr>
          <w:rFonts w:asciiTheme="minorHAnsi" w:hAnsiTheme="minorHAnsi"/>
          <w:sz w:val="20"/>
          <w:szCs w:val="20"/>
        </w:rPr>
      </w:pPr>
      <w:r w:rsidRPr="001B5DC7">
        <w:rPr>
          <w:rFonts w:asciiTheme="minorHAnsi" w:hAnsiTheme="minorHAnsi"/>
          <w:sz w:val="20"/>
          <w:szCs w:val="20"/>
        </w:rPr>
        <w:t>Are the student teaching evaluation</w:t>
      </w:r>
      <w:r w:rsidR="009F7397" w:rsidRPr="001B5DC7">
        <w:rPr>
          <w:rFonts w:asciiTheme="minorHAnsi" w:hAnsiTheme="minorHAnsi"/>
          <w:sz w:val="20"/>
          <w:szCs w:val="20"/>
        </w:rPr>
        <w:t xml:space="preserve"> instruments</w:t>
      </w:r>
      <w:r w:rsidRPr="001B5DC7">
        <w:rPr>
          <w:rFonts w:asciiTheme="minorHAnsi" w:hAnsiTheme="minorHAnsi"/>
          <w:sz w:val="20"/>
          <w:szCs w:val="20"/>
        </w:rPr>
        <w:t xml:space="preserve"> reliable? </w:t>
      </w:r>
      <w:r w:rsidR="00D45DAD" w:rsidRPr="001B5DC7">
        <w:rPr>
          <w:rFonts w:asciiTheme="minorHAnsi" w:hAnsiTheme="minorHAnsi"/>
          <w:sz w:val="20"/>
          <w:szCs w:val="20"/>
        </w:rPr>
        <w:t xml:space="preserve">Specifically, what are the results of test – retest, internal consistency, and inter-rater agreement studies? </w:t>
      </w:r>
    </w:p>
    <w:p w14:paraId="65F2E5B9" w14:textId="77777777" w:rsidR="00FE6F0A" w:rsidRPr="001B5DC7" w:rsidRDefault="00FE6F0A">
      <w:pPr>
        <w:ind w:left="-360" w:right="-360"/>
        <w:rPr>
          <w:rFonts w:asciiTheme="minorHAnsi" w:hAnsiTheme="minorHAnsi"/>
          <w:sz w:val="20"/>
          <w:szCs w:val="20"/>
        </w:rPr>
      </w:pPr>
    </w:p>
    <w:p w14:paraId="3263CD43" w14:textId="77777777" w:rsidR="00FE6F0A" w:rsidRPr="001B5DC7" w:rsidRDefault="00FE6F0A" w:rsidP="00B834B1">
      <w:pPr>
        <w:pStyle w:val="Heading1"/>
        <w:ind w:hanging="720"/>
        <w:rPr>
          <w:rFonts w:asciiTheme="minorHAnsi" w:hAnsiTheme="minorHAnsi"/>
          <w:sz w:val="20"/>
          <w:szCs w:val="20"/>
        </w:rPr>
      </w:pPr>
      <w:r w:rsidRPr="001B5DC7">
        <w:rPr>
          <w:rFonts w:asciiTheme="minorHAnsi" w:hAnsiTheme="minorHAnsi"/>
          <w:sz w:val="20"/>
          <w:szCs w:val="20"/>
        </w:rPr>
        <w:t>Background and Rationale</w:t>
      </w:r>
    </w:p>
    <w:p w14:paraId="39C66220" w14:textId="77777777" w:rsidR="008A189D" w:rsidRPr="001B5DC7" w:rsidRDefault="008A189D" w:rsidP="008A189D">
      <w:pPr>
        <w:rPr>
          <w:rFonts w:asciiTheme="minorHAnsi" w:hAnsiTheme="minorHAnsi"/>
          <w:b/>
          <w:sz w:val="20"/>
          <w:szCs w:val="20"/>
        </w:rPr>
      </w:pPr>
      <w:r w:rsidRPr="001B5DC7">
        <w:rPr>
          <w:rFonts w:asciiTheme="minorHAnsi" w:hAnsiTheme="minorHAnsi"/>
          <w:b/>
          <w:sz w:val="20"/>
          <w:szCs w:val="20"/>
        </w:rPr>
        <w:t>Summarize and synthesize the available research (including published data) to provide justification for the study. Evaluate prior research for relevance to the research question under study. When the proposed research is the first of its type to involve human participants, the results of relevant animal studies must be included. Discuss the anticipated results and potential pitfalls. Describe the significance of the research including potential benefit for individual subjects or society at large. Discuss how public health and social welfare might be enhanced.</w:t>
      </w:r>
    </w:p>
    <w:p w14:paraId="0AAF36DA" w14:textId="77777777" w:rsidR="008A189D" w:rsidRPr="001B5DC7" w:rsidRDefault="008A189D" w:rsidP="008A189D">
      <w:pPr>
        <w:rPr>
          <w:rFonts w:asciiTheme="minorHAnsi" w:hAnsiTheme="minorHAnsi"/>
          <w:sz w:val="20"/>
          <w:szCs w:val="20"/>
        </w:rPr>
      </w:pPr>
    </w:p>
    <w:p w14:paraId="7ED7F8C5" w14:textId="59931FC2" w:rsidR="00321F90" w:rsidRPr="001B5DC7" w:rsidRDefault="00321F90" w:rsidP="00321F90">
      <w:pPr>
        <w:ind w:right="-360"/>
        <w:rPr>
          <w:rFonts w:asciiTheme="minorHAnsi" w:hAnsiTheme="minorHAnsi"/>
          <w:sz w:val="20"/>
          <w:szCs w:val="20"/>
        </w:rPr>
      </w:pPr>
      <w:r w:rsidRPr="001B5DC7">
        <w:rPr>
          <w:rFonts w:asciiTheme="minorHAnsi" w:hAnsiTheme="minorHAnsi"/>
          <w:sz w:val="20"/>
          <w:szCs w:val="20"/>
        </w:rPr>
        <w:t xml:space="preserve">As educator preparation providers (EPP’s) prepare for the transition from the 2010 National Council for Accreditation of Teacher Education (NCATE) standards to the 2013 Council for Accreditation of Educator Preparation (CAEP) standards, many EPP’s are struggling with the new, rigorous standards for assessment. The new CAEP standards are in effect and EPP’s have little time to create a strategic plan to address the rigor prior to the reaccreditation reviews and self-study that begins in Spring 2016. Specifically, many EPP’s are struggling with the development of valid and reliable assessments given that true reliability and validity studies take a wealth of time, resources and require the expertise of content experts and </w:t>
      </w:r>
      <w:proofErr w:type="spellStart"/>
      <w:r w:rsidRPr="001B5DC7">
        <w:rPr>
          <w:rFonts w:asciiTheme="minorHAnsi" w:hAnsiTheme="minorHAnsi"/>
          <w:sz w:val="20"/>
          <w:szCs w:val="20"/>
        </w:rPr>
        <w:t>psychometricians</w:t>
      </w:r>
      <w:proofErr w:type="spellEnd"/>
      <w:r w:rsidRPr="001B5DC7">
        <w:rPr>
          <w:rFonts w:asciiTheme="minorHAnsi" w:hAnsiTheme="minorHAnsi"/>
          <w:sz w:val="20"/>
          <w:szCs w:val="20"/>
        </w:rPr>
        <w:t>. Virtually all EPP’s use a performance-based evaluation tool during clinical experiences, which presents challenges due to the sub</w:t>
      </w:r>
      <w:r w:rsidR="000E48B9" w:rsidRPr="001B5DC7">
        <w:rPr>
          <w:rFonts w:asciiTheme="minorHAnsi" w:hAnsiTheme="minorHAnsi"/>
          <w:sz w:val="20"/>
          <w:szCs w:val="20"/>
        </w:rPr>
        <w:t xml:space="preserve">jectivity of such measurements; therefore, validity and reliability studies on such instruments are warranted and large, research institutions such as The Ohio State University </w:t>
      </w:r>
      <w:r w:rsidR="00F71163">
        <w:rPr>
          <w:rFonts w:asciiTheme="minorHAnsi" w:hAnsiTheme="minorHAnsi"/>
          <w:sz w:val="20"/>
          <w:szCs w:val="20"/>
        </w:rPr>
        <w:t>are well positioned</w:t>
      </w:r>
      <w:r w:rsidR="000E48B9" w:rsidRPr="001B5DC7">
        <w:rPr>
          <w:rFonts w:asciiTheme="minorHAnsi" w:hAnsiTheme="minorHAnsi"/>
          <w:sz w:val="20"/>
          <w:szCs w:val="20"/>
        </w:rPr>
        <w:t xml:space="preserve"> to do such studies. </w:t>
      </w:r>
    </w:p>
    <w:p w14:paraId="3E6FAAE2" w14:textId="77777777" w:rsidR="00AB489B" w:rsidRPr="001B5DC7" w:rsidRDefault="00AB489B" w:rsidP="00321F90">
      <w:pPr>
        <w:ind w:right="-360"/>
        <w:rPr>
          <w:rFonts w:asciiTheme="minorHAnsi" w:hAnsiTheme="minorHAnsi"/>
          <w:sz w:val="20"/>
          <w:szCs w:val="20"/>
        </w:rPr>
      </w:pPr>
    </w:p>
    <w:p w14:paraId="5CFB69C1" w14:textId="77777777" w:rsidR="00321F90" w:rsidRPr="001B5DC7" w:rsidRDefault="00321F90" w:rsidP="00321F90">
      <w:pPr>
        <w:rPr>
          <w:rFonts w:asciiTheme="minorHAnsi" w:hAnsiTheme="minorHAnsi"/>
          <w:sz w:val="20"/>
          <w:szCs w:val="20"/>
        </w:rPr>
      </w:pPr>
      <w:r w:rsidRPr="001B5DC7">
        <w:rPr>
          <w:rFonts w:asciiTheme="minorHAnsi" w:hAnsiTheme="minorHAnsi"/>
          <w:sz w:val="20"/>
          <w:szCs w:val="20"/>
        </w:rPr>
        <w:t>There are similarities between the 2010 NCATE and 2013 CAEP standards. The CAEP standards continue the previous emphasis on candidates’ performance and continuous quality improvement, but have a greater emphasis on program impact related to P-12 student learning which requires EPP’s to revamp assessments to be in compliance (</w:t>
      </w:r>
      <w:proofErr w:type="spellStart"/>
      <w:r w:rsidRPr="001B5DC7">
        <w:rPr>
          <w:rFonts w:asciiTheme="minorHAnsi" w:hAnsiTheme="minorHAnsi"/>
          <w:sz w:val="20"/>
          <w:szCs w:val="20"/>
        </w:rPr>
        <w:t>Tomei</w:t>
      </w:r>
      <w:proofErr w:type="spellEnd"/>
      <w:r w:rsidRPr="001B5DC7">
        <w:rPr>
          <w:rFonts w:asciiTheme="minorHAnsi" w:hAnsiTheme="minorHAnsi"/>
          <w:sz w:val="20"/>
          <w:szCs w:val="20"/>
        </w:rPr>
        <w:t>, 2014). Some major differences that relate to the current proposal include (a) a focus on initial classroom preparation, (b) re-envisioned professional dispositions, (c) greater emphasis on diversity, (d) stronger clinical partnerships, (e) greater involvement of stakeholders, (f) increased emphasis on impact, (g) expectation of external benchmarking, (h) assurance that accountability metrics are valid, reliable, and fair, and (</w:t>
      </w:r>
      <w:proofErr w:type="spellStart"/>
      <w:r w:rsidRPr="001B5DC7">
        <w:rPr>
          <w:rFonts w:asciiTheme="minorHAnsi" w:hAnsiTheme="minorHAnsi"/>
          <w:sz w:val="20"/>
          <w:szCs w:val="20"/>
        </w:rPr>
        <w:t>i</w:t>
      </w:r>
      <w:proofErr w:type="spellEnd"/>
      <w:r w:rsidRPr="001B5DC7">
        <w:rPr>
          <w:rFonts w:asciiTheme="minorHAnsi" w:hAnsiTheme="minorHAnsi"/>
          <w:sz w:val="20"/>
          <w:szCs w:val="20"/>
        </w:rPr>
        <w:t>) heightened expectations for the quality of evidence (</w:t>
      </w:r>
      <w:proofErr w:type="spellStart"/>
      <w:r w:rsidRPr="001B5DC7">
        <w:rPr>
          <w:rFonts w:asciiTheme="minorHAnsi" w:hAnsiTheme="minorHAnsi"/>
          <w:sz w:val="20"/>
          <w:szCs w:val="20"/>
        </w:rPr>
        <w:t>Tomei</w:t>
      </w:r>
      <w:proofErr w:type="spellEnd"/>
      <w:r w:rsidRPr="001B5DC7">
        <w:rPr>
          <w:rFonts w:asciiTheme="minorHAnsi" w:hAnsiTheme="minorHAnsi"/>
          <w:sz w:val="20"/>
          <w:szCs w:val="20"/>
        </w:rPr>
        <w:t>, 2014). One drastic departure from the NCATE accreditation process is the requirement of valid and reliable assessments to demonstrate candidate quality and that various stakeholders must contribute to the validity of the assessments. Education Program Providers must consider the principles for measures used in the CAEP accreditation process, which include (a) validity and reliability, (b) relevance, (c) verifiability, (d) representativeness, (e) cumulativeness, (f) fairness, (g) stakeholder interest, (h) benchmarks, (</w:t>
      </w:r>
      <w:proofErr w:type="spellStart"/>
      <w:r w:rsidRPr="001B5DC7">
        <w:rPr>
          <w:rFonts w:asciiTheme="minorHAnsi" w:hAnsiTheme="minorHAnsi"/>
          <w:sz w:val="20"/>
          <w:szCs w:val="20"/>
        </w:rPr>
        <w:t>i</w:t>
      </w:r>
      <w:proofErr w:type="spellEnd"/>
      <w:r w:rsidRPr="001B5DC7">
        <w:rPr>
          <w:rFonts w:asciiTheme="minorHAnsi" w:hAnsiTheme="minorHAnsi"/>
          <w:sz w:val="20"/>
          <w:szCs w:val="20"/>
        </w:rPr>
        <w:t xml:space="preserve">) vulnerability to manipulation, and (j) </w:t>
      </w:r>
      <w:proofErr w:type="spellStart"/>
      <w:r w:rsidRPr="001B5DC7">
        <w:rPr>
          <w:rFonts w:asciiTheme="minorHAnsi" w:hAnsiTheme="minorHAnsi"/>
          <w:sz w:val="20"/>
          <w:szCs w:val="20"/>
        </w:rPr>
        <w:t>actionability</w:t>
      </w:r>
      <w:proofErr w:type="spellEnd"/>
      <w:r w:rsidRPr="001B5DC7">
        <w:rPr>
          <w:rFonts w:asciiTheme="minorHAnsi" w:hAnsiTheme="minorHAnsi"/>
          <w:sz w:val="20"/>
          <w:szCs w:val="20"/>
        </w:rPr>
        <w:t xml:space="preserve"> (</w:t>
      </w:r>
      <w:proofErr w:type="spellStart"/>
      <w:r w:rsidRPr="001B5DC7">
        <w:rPr>
          <w:rFonts w:asciiTheme="minorHAnsi" w:hAnsiTheme="minorHAnsi"/>
          <w:sz w:val="20"/>
          <w:szCs w:val="20"/>
        </w:rPr>
        <w:t>Ewell</w:t>
      </w:r>
      <w:proofErr w:type="spellEnd"/>
      <w:r w:rsidRPr="001B5DC7">
        <w:rPr>
          <w:rFonts w:asciiTheme="minorHAnsi" w:hAnsiTheme="minorHAnsi"/>
          <w:sz w:val="20"/>
          <w:szCs w:val="20"/>
        </w:rPr>
        <w:t xml:space="preserve">, 2013). </w:t>
      </w:r>
      <w:r w:rsidR="00227545" w:rsidRPr="001B5DC7">
        <w:rPr>
          <w:rFonts w:asciiTheme="minorHAnsi" w:hAnsiTheme="minorHAnsi"/>
          <w:sz w:val="20"/>
          <w:szCs w:val="20"/>
        </w:rPr>
        <w:t>These illustrate the need for the current proposal.</w:t>
      </w:r>
    </w:p>
    <w:p w14:paraId="34150028" w14:textId="77777777" w:rsidR="00321F90" w:rsidRPr="001B5DC7" w:rsidRDefault="00321F90" w:rsidP="00321F90">
      <w:pPr>
        <w:rPr>
          <w:rFonts w:asciiTheme="minorHAnsi" w:hAnsiTheme="minorHAnsi"/>
          <w:sz w:val="20"/>
          <w:szCs w:val="20"/>
        </w:rPr>
      </w:pPr>
    </w:p>
    <w:p w14:paraId="24B3DFB7" w14:textId="77777777" w:rsidR="000E48B9" w:rsidRPr="001B5DC7" w:rsidRDefault="005826CA" w:rsidP="00321F90">
      <w:pPr>
        <w:rPr>
          <w:rFonts w:asciiTheme="minorHAnsi" w:hAnsiTheme="minorHAnsi"/>
          <w:sz w:val="20"/>
          <w:szCs w:val="20"/>
        </w:rPr>
      </w:pPr>
      <w:r w:rsidRPr="001B5DC7">
        <w:rPr>
          <w:rFonts w:asciiTheme="minorHAnsi" w:hAnsiTheme="minorHAnsi"/>
          <w:sz w:val="20"/>
          <w:szCs w:val="20"/>
        </w:rPr>
        <w:lastRenderedPageBreak/>
        <w:t>Validity and reliability are two of the most im</w:t>
      </w:r>
      <w:r w:rsidR="003A4EB4" w:rsidRPr="001B5DC7">
        <w:rPr>
          <w:rFonts w:asciiTheme="minorHAnsi" w:hAnsiTheme="minorHAnsi"/>
          <w:sz w:val="20"/>
          <w:szCs w:val="20"/>
        </w:rPr>
        <w:t>portant criteria for evaluation and assessment tools</w:t>
      </w:r>
      <w:r w:rsidRPr="001B5DC7">
        <w:rPr>
          <w:rFonts w:asciiTheme="minorHAnsi" w:hAnsiTheme="minorHAnsi"/>
          <w:sz w:val="20"/>
          <w:szCs w:val="20"/>
        </w:rPr>
        <w:t xml:space="preserve">. </w:t>
      </w:r>
      <w:r w:rsidR="003A4EB4" w:rsidRPr="001B5DC7">
        <w:rPr>
          <w:rFonts w:asciiTheme="minorHAnsi" w:hAnsiTheme="minorHAnsi"/>
          <w:sz w:val="20"/>
          <w:szCs w:val="20"/>
        </w:rPr>
        <w:t>This is e</w:t>
      </w:r>
      <w:r w:rsidRPr="001B5DC7">
        <w:rPr>
          <w:rFonts w:asciiTheme="minorHAnsi" w:hAnsiTheme="minorHAnsi"/>
          <w:sz w:val="20"/>
          <w:szCs w:val="20"/>
        </w:rPr>
        <w:t>specially</w:t>
      </w:r>
      <w:r w:rsidR="003A4EB4" w:rsidRPr="001B5DC7">
        <w:rPr>
          <w:rFonts w:asciiTheme="minorHAnsi" w:hAnsiTheme="minorHAnsi"/>
          <w:sz w:val="20"/>
          <w:szCs w:val="20"/>
        </w:rPr>
        <w:t xml:space="preserve"> true</w:t>
      </w:r>
      <w:r w:rsidRPr="001B5DC7">
        <w:rPr>
          <w:rFonts w:asciiTheme="minorHAnsi" w:hAnsiTheme="minorHAnsi"/>
          <w:sz w:val="20"/>
          <w:szCs w:val="20"/>
        </w:rPr>
        <w:t xml:space="preserve"> if the assessment </w:t>
      </w:r>
      <w:r w:rsidR="003A4EB4" w:rsidRPr="001B5DC7">
        <w:rPr>
          <w:rFonts w:asciiTheme="minorHAnsi" w:hAnsiTheme="minorHAnsi"/>
          <w:sz w:val="20"/>
          <w:szCs w:val="20"/>
        </w:rPr>
        <w:t>is</w:t>
      </w:r>
      <w:r w:rsidRPr="001B5DC7">
        <w:rPr>
          <w:rFonts w:asciiTheme="minorHAnsi" w:hAnsiTheme="minorHAnsi"/>
          <w:sz w:val="20"/>
          <w:szCs w:val="20"/>
        </w:rPr>
        <w:t xml:space="preserve"> used as </w:t>
      </w:r>
      <w:r w:rsidR="006E3248" w:rsidRPr="001B5DC7">
        <w:rPr>
          <w:rFonts w:asciiTheme="minorHAnsi" w:hAnsiTheme="minorHAnsi"/>
          <w:sz w:val="20"/>
          <w:szCs w:val="20"/>
        </w:rPr>
        <w:t>a measurement instrument</w:t>
      </w:r>
      <w:r w:rsidRPr="001B5DC7">
        <w:rPr>
          <w:rFonts w:asciiTheme="minorHAnsi" w:hAnsiTheme="minorHAnsi"/>
          <w:sz w:val="20"/>
          <w:szCs w:val="20"/>
        </w:rPr>
        <w:t xml:space="preserve"> in research. General</w:t>
      </w:r>
      <w:r w:rsidR="003A4EB4" w:rsidRPr="001B5DC7">
        <w:rPr>
          <w:rFonts w:asciiTheme="minorHAnsi" w:hAnsiTheme="minorHAnsi"/>
          <w:sz w:val="20"/>
          <w:szCs w:val="20"/>
        </w:rPr>
        <w:t>ly speaking, validity is defined as the degree to which a test or measuring instrument actually measures what it purports to measure or how well a test or a meaning instrument fulfills its function (</w:t>
      </w:r>
      <w:r w:rsidR="00F35F9D" w:rsidRPr="001B5DC7">
        <w:rPr>
          <w:rFonts w:asciiTheme="minorHAnsi" w:hAnsiTheme="minorHAnsi"/>
          <w:sz w:val="20"/>
          <w:szCs w:val="20"/>
        </w:rPr>
        <w:t>Anastasi &amp; Urbina, 1997</w:t>
      </w:r>
      <w:r w:rsidR="003A4EB4" w:rsidRPr="001B5DC7">
        <w:rPr>
          <w:rFonts w:asciiTheme="minorHAnsi" w:hAnsiTheme="minorHAnsi"/>
          <w:sz w:val="20"/>
          <w:szCs w:val="20"/>
        </w:rPr>
        <w:t xml:space="preserve">). </w:t>
      </w:r>
      <w:r w:rsidR="007B1FAC" w:rsidRPr="001B5DC7">
        <w:rPr>
          <w:rFonts w:asciiTheme="minorHAnsi" w:hAnsiTheme="minorHAnsi"/>
          <w:sz w:val="20"/>
          <w:szCs w:val="20"/>
        </w:rPr>
        <w:t xml:space="preserve">In educational research, there are four types of validity that are important to address including face, content, construct, and criterion-related </w:t>
      </w:r>
      <w:r w:rsidR="0062101E" w:rsidRPr="001B5DC7">
        <w:rPr>
          <w:rFonts w:asciiTheme="minorHAnsi" w:hAnsiTheme="minorHAnsi"/>
          <w:sz w:val="20"/>
          <w:szCs w:val="20"/>
        </w:rPr>
        <w:t xml:space="preserve">(concurrent and predictive) </w:t>
      </w:r>
      <w:r w:rsidR="007B1FAC" w:rsidRPr="001B5DC7">
        <w:rPr>
          <w:rFonts w:asciiTheme="minorHAnsi" w:hAnsiTheme="minorHAnsi"/>
          <w:sz w:val="20"/>
          <w:szCs w:val="20"/>
        </w:rPr>
        <w:t>validity</w:t>
      </w:r>
      <w:r w:rsidR="00BE3D14" w:rsidRPr="001B5DC7">
        <w:rPr>
          <w:rFonts w:asciiTheme="minorHAnsi" w:hAnsiTheme="minorHAnsi"/>
          <w:sz w:val="20"/>
          <w:szCs w:val="20"/>
        </w:rPr>
        <w:t xml:space="preserve"> (</w:t>
      </w:r>
      <w:proofErr w:type="spellStart"/>
      <w:r w:rsidR="00BE3D14" w:rsidRPr="001B5DC7">
        <w:rPr>
          <w:rFonts w:asciiTheme="minorHAnsi" w:hAnsiTheme="minorHAnsi"/>
          <w:sz w:val="20"/>
          <w:szCs w:val="20"/>
        </w:rPr>
        <w:t>Oluwatayo</w:t>
      </w:r>
      <w:proofErr w:type="spellEnd"/>
      <w:r w:rsidR="00BE3D14" w:rsidRPr="001B5DC7">
        <w:rPr>
          <w:rFonts w:asciiTheme="minorHAnsi" w:hAnsiTheme="minorHAnsi"/>
          <w:sz w:val="20"/>
          <w:szCs w:val="20"/>
        </w:rPr>
        <w:t>, 2012)</w:t>
      </w:r>
      <w:r w:rsidR="007B1FAC" w:rsidRPr="001B5DC7">
        <w:rPr>
          <w:rFonts w:asciiTheme="minorHAnsi" w:hAnsiTheme="minorHAnsi"/>
          <w:sz w:val="20"/>
          <w:szCs w:val="20"/>
        </w:rPr>
        <w:t xml:space="preserve">. </w:t>
      </w:r>
      <w:r w:rsidR="00BE3D14" w:rsidRPr="001B5DC7">
        <w:rPr>
          <w:rFonts w:asciiTheme="minorHAnsi" w:hAnsiTheme="minorHAnsi"/>
          <w:sz w:val="20"/>
          <w:szCs w:val="20"/>
        </w:rPr>
        <w:t>For the purposes of the current project, we will focus on</w:t>
      </w:r>
      <w:r w:rsidR="00645213" w:rsidRPr="001B5DC7">
        <w:rPr>
          <w:rFonts w:asciiTheme="minorHAnsi" w:hAnsiTheme="minorHAnsi"/>
          <w:b/>
          <w:sz w:val="20"/>
          <w:szCs w:val="20"/>
        </w:rPr>
        <w:t xml:space="preserve"> construct</w:t>
      </w:r>
      <w:r w:rsidR="0062101E" w:rsidRPr="001B5DC7">
        <w:rPr>
          <w:rFonts w:asciiTheme="minorHAnsi" w:hAnsiTheme="minorHAnsi"/>
          <w:b/>
          <w:sz w:val="20"/>
          <w:szCs w:val="20"/>
        </w:rPr>
        <w:t>, concurrent</w:t>
      </w:r>
      <w:r w:rsidR="00645213" w:rsidRPr="001B5DC7">
        <w:rPr>
          <w:rFonts w:asciiTheme="minorHAnsi" w:hAnsiTheme="minorHAnsi"/>
          <w:b/>
          <w:sz w:val="20"/>
          <w:szCs w:val="20"/>
        </w:rPr>
        <w:t xml:space="preserve"> and content validity. P</w:t>
      </w:r>
      <w:r w:rsidR="006D1AA8" w:rsidRPr="001B5DC7">
        <w:rPr>
          <w:rFonts w:asciiTheme="minorHAnsi" w:hAnsiTheme="minorHAnsi"/>
          <w:b/>
          <w:sz w:val="20"/>
          <w:szCs w:val="20"/>
        </w:rPr>
        <w:t>redictive</w:t>
      </w:r>
      <w:r w:rsidR="00BE3D14" w:rsidRPr="001B5DC7">
        <w:rPr>
          <w:rFonts w:asciiTheme="minorHAnsi" w:hAnsiTheme="minorHAnsi"/>
          <w:b/>
          <w:sz w:val="20"/>
          <w:szCs w:val="20"/>
        </w:rPr>
        <w:t xml:space="preserve"> validity</w:t>
      </w:r>
      <w:r w:rsidR="00645213" w:rsidRPr="001B5DC7">
        <w:rPr>
          <w:rFonts w:asciiTheme="minorHAnsi" w:hAnsiTheme="minorHAnsi"/>
          <w:b/>
          <w:sz w:val="20"/>
          <w:szCs w:val="20"/>
        </w:rPr>
        <w:t xml:space="preserve"> studies will be conducted as part of future studies</w:t>
      </w:r>
      <w:r w:rsidR="00BE3D14" w:rsidRPr="001B5DC7">
        <w:rPr>
          <w:rFonts w:asciiTheme="minorHAnsi" w:hAnsiTheme="minorHAnsi"/>
          <w:sz w:val="20"/>
          <w:szCs w:val="20"/>
        </w:rPr>
        <w:t xml:space="preserve">. </w:t>
      </w:r>
      <w:r w:rsidR="00F35F9D" w:rsidRPr="001B5DC7">
        <w:rPr>
          <w:rFonts w:asciiTheme="minorHAnsi" w:hAnsiTheme="minorHAnsi"/>
          <w:sz w:val="20"/>
          <w:szCs w:val="20"/>
        </w:rPr>
        <w:t xml:space="preserve">Reliability </w:t>
      </w:r>
      <w:r w:rsidR="008D67AA" w:rsidRPr="001B5DC7">
        <w:rPr>
          <w:rFonts w:asciiTheme="minorHAnsi" w:hAnsiTheme="minorHAnsi"/>
          <w:sz w:val="20"/>
          <w:szCs w:val="20"/>
        </w:rPr>
        <w:t>refers to dependability</w:t>
      </w:r>
      <w:r w:rsidR="002B1405" w:rsidRPr="001B5DC7">
        <w:rPr>
          <w:rFonts w:asciiTheme="minorHAnsi" w:hAnsiTheme="minorHAnsi"/>
          <w:sz w:val="20"/>
          <w:szCs w:val="20"/>
        </w:rPr>
        <w:t xml:space="preserve">, consistency, reproducibility or replicability over time, over instruments and over groups of respondents (Bowling, 2009). </w:t>
      </w:r>
      <w:r w:rsidR="008D67AA" w:rsidRPr="001B5DC7">
        <w:rPr>
          <w:rFonts w:asciiTheme="minorHAnsi" w:hAnsiTheme="minorHAnsi"/>
          <w:sz w:val="20"/>
          <w:szCs w:val="20"/>
        </w:rPr>
        <w:t>There are three principle types of reliability in educational research: stability, equivalence and internal consistency (</w:t>
      </w:r>
      <w:proofErr w:type="spellStart"/>
      <w:r w:rsidR="008D67AA" w:rsidRPr="001B5DC7">
        <w:rPr>
          <w:rFonts w:asciiTheme="minorHAnsi" w:hAnsiTheme="minorHAnsi"/>
          <w:sz w:val="20"/>
          <w:szCs w:val="20"/>
        </w:rPr>
        <w:t>Oluwatayo</w:t>
      </w:r>
      <w:proofErr w:type="spellEnd"/>
      <w:r w:rsidR="008D67AA" w:rsidRPr="001B5DC7">
        <w:rPr>
          <w:rFonts w:asciiTheme="minorHAnsi" w:hAnsiTheme="minorHAnsi"/>
          <w:sz w:val="20"/>
          <w:szCs w:val="20"/>
        </w:rPr>
        <w:t xml:space="preserve">, 2012). </w:t>
      </w:r>
      <w:r w:rsidR="00FF3B1A" w:rsidRPr="001B5DC7">
        <w:rPr>
          <w:rFonts w:asciiTheme="minorHAnsi" w:hAnsiTheme="minorHAnsi"/>
          <w:sz w:val="20"/>
          <w:szCs w:val="20"/>
        </w:rPr>
        <w:t xml:space="preserve">For the purposes of this project, we collect data for </w:t>
      </w:r>
      <w:r w:rsidR="00FF3B1A" w:rsidRPr="001B5DC7">
        <w:rPr>
          <w:rFonts w:asciiTheme="minorHAnsi" w:hAnsiTheme="minorHAnsi"/>
          <w:b/>
          <w:sz w:val="20"/>
          <w:szCs w:val="20"/>
        </w:rPr>
        <w:t>test-retest reliability, internal consistency, and inter-rate agreement</w:t>
      </w:r>
      <w:r w:rsidR="00FF3B1A" w:rsidRPr="001B5DC7">
        <w:rPr>
          <w:rFonts w:asciiTheme="minorHAnsi" w:hAnsiTheme="minorHAnsi"/>
          <w:sz w:val="20"/>
          <w:szCs w:val="20"/>
        </w:rPr>
        <w:t xml:space="preserve">. </w:t>
      </w:r>
      <w:r w:rsidR="005067BC" w:rsidRPr="001B5DC7">
        <w:rPr>
          <w:rFonts w:asciiTheme="minorHAnsi" w:hAnsiTheme="minorHAnsi"/>
          <w:sz w:val="20"/>
          <w:szCs w:val="20"/>
        </w:rPr>
        <w:t xml:space="preserve">The studies described in this proposal are the first steps for longer, more </w:t>
      </w:r>
      <w:r w:rsidR="00D439B8" w:rsidRPr="001B5DC7">
        <w:rPr>
          <w:rFonts w:asciiTheme="minorHAnsi" w:hAnsiTheme="minorHAnsi"/>
          <w:sz w:val="20"/>
          <w:szCs w:val="20"/>
        </w:rPr>
        <w:t>rigorous</w:t>
      </w:r>
      <w:r w:rsidR="005067BC" w:rsidRPr="001B5DC7">
        <w:rPr>
          <w:rFonts w:asciiTheme="minorHAnsi" w:hAnsiTheme="minorHAnsi"/>
          <w:sz w:val="20"/>
          <w:szCs w:val="20"/>
        </w:rPr>
        <w:t xml:space="preserve"> validity and reliability studies. </w:t>
      </w:r>
    </w:p>
    <w:p w14:paraId="239A3983" w14:textId="77777777" w:rsidR="00321F90" w:rsidRPr="001B5DC7" w:rsidRDefault="00321F90">
      <w:pPr>
        <w:ind w:left="-360" w:right="-360"/>
        <w:rPr>
          <w:rFonts w:asciiTheme="minorHAnsi" w:hAnsiTheme="minorHAnsi"/>
          <w:sz w:val="20"/>
          <w:szCs w:val="20"/>
        </w:rPr>
      </w:pPr>
    </w:p>
    <w:p w14:paraId="6E9D1BBF" w14:textId="77777777" w:rsidR="00FE6F0A" w:rsidRPr="001B5DC7" w:rsidRDefault="00FE6F0A" w:rsidP="00B834B1">
      <w:pPr>
        <w:pStyle w:val="Heading1"/>
        <w:ind w:hanging="720"/>
        <w:rPr>
          <w:rFonts w:asciiTheme="minorHAnsi" w:hAnsiTheme="minorHAnsi"/>
          <w:sz w:val="20"/>
          <w:szCs w:val="20"/>
        </w:rPr>
      </w:pPr>
      <w:r w:rsidRPr="001B5DC7">
        <w:rPr>
          <w:rFonts w:asciiTheme="minorHAnsi" w:hAnsiTheme="minorHAnsi"/>
          <w:sz w:val="20"/>
          <w:szCs w:val="20"/>
        </w:rPr>
        <w:t>Procedures</w:t>
      </w:r>
    </w:p>
    <w:p w14:paraId="1C3E6154" w14:textId="77777777" w:rsidR="00FE6F0A" w:rsidRPr="001B5DC7" w:rsidRDefault="00FE6F0A">
      <w:pPr>
        <w:ind w:left="-360" w:right="-360"/>
        <w:rPr>
          <w:rFonts w:asciiTheme="minorHAnsi" w:hAnsiTheme="minorHAnsi"/>
          <w:sz w:val="20"/>
          <w:szCs w:val="20"/>
        </w:rPr>
      </w:pPr>
    </w:p>
    <w:p w14:paraId="20289F92" w14:textId="77777777" w:rsidR="00FE6F0A" w:rsidRPr="001B5DC7" w:rsidRDefault="00FE6F0A" w:rsidP="00B834B1">
      <w:pPr>
        <w:pStyle w:val="Heading2"/>
        <w:tabs>
          <w:tab w:val="clear" w:pos="432"/>
          <w:tab w:val="num" w:pos="0"/>
          <w:tab w:val="left" w:pos="360"/>
        </w:tabs>
        <w:ind w:hanging="1368"/>
        <w:rPr>
          <w:rFonts w:asciiTheme="minorHAnsi" w:hAnsiTheme="minorHAnsi"/>
          <w:sz w:val="20"/>
          <w:szCs w:val="20"/>
        </w:rPr>
      </w:pPr>
      <w:r w:rsidRPr="001B5DC7">
        <w:rPr>
          <w:rFonts w:asciiTheme="minorHAnsi" w:hAnsiTheme="minorHAnsi"/>
          <w:sz w:val="20"/>
          <w:szCs w:val="20"/>
        </w:rPr>
        <w:t>Research Design</w:t>
      </w:r>
    </w:p>
    <w:p w14:paraId="7909BC70" w14:textId="77777777" w:rsidR="00BA165F" w:rsidRPr="001B5DC7" w:rsidRDefault="00BA165F" w:rsidP="00BA165F">
      <w:pPr>
        <w:ind w:left="360" w:right="-360"/>
        <w:rPr>
          <w:rFonts w:asciiTheme="minorHAnsi" w:hAnsiTheme="minorHAnsi"/>
          <w:b/>
          <w:sz w:val="20"/>
          <w:szCs w:val="20"/>
        </w:rPr>
      </w:pPr>
      <w:r w:rsidRPr="001B5DC7">
        <w:rPr>
          <w:rFonts w:asciiTheme="minorHAnsi" w:hAnsiTheme="minorHAnsi"/>
          <w:b/>
          <w:sz w:val="20"/>
          <w:szCs w:val="20"/>
        </w:rPr>
        <w:t>The research design should be identified and should be appropriate to answer the research question(s) under study. Describe the type of research proposed (e.g. experimental, correlational, survey, qualitative) and specific study design that will be used (e.g. pre-test /post / test control group design, cross-sectional design; prospective longitudinal cohort design; phase III double-blind randomized control group design).</w:t>
      </w:r>
    </w:p>
    <w:p w14:paraId="058F1113" w14:textId="77777777" w:rsidR="00AB489B" w:rsidRPr="001B5DC7" w:rsidRDefault="00AB489B" w:rsidP="00B834B1">
      <w:pPr>
        <w:ind w:left="360" w:right="-360"/>
        <w:rPr>
          <w:rFonts w:asciiTheme="minorHAnsi" w:hAnsiTheme="minorHAnsi"/>
          <w:b/>
          <w:sz w:val="20"/>
          <w:szCs w:val="20"/>
        </w:rPr>
      </w:pPr>
    </w:p>
    <w:p w14:paraId="5C8EA718" w14:textId="6D2F956F" w:rsidR="00AB489B" w:rsidRPr="001B5DC7" w:rsidRDefault="00747814" w:rsidP="00B834B1">
      <w:pPr>
        <w:ind w:left="360" w:right="-360"/>
        <w:rPr>
          <w:rFonts w:asciiTheme="minorHAnsi" w:hAnsiTheme="minorHAnsi"/>
          <w:sz w:val="20"/>
          <w:szCs w:val="20"/>
        </w:rPr>
      </w:pPr>
      <w:r w:rsidRPr="001B5DC7">
        <w:rPr>
          <w:rFonts w:asciiTheme="minorHAnsi" w:hAnsiTheme="minorHAnsi"/>
          <w:sz w:val="20"/>
          <w:szCs w:val="20"/>
        </w:rPr>
        <w:t xml:space="preserve">This is a correlational study designed to investigate the validity and reliability of three evaluation instruments used to rate student teachers’ performance including the 1) pedagogy evaluation, 2) dispositions evaluation, and 3) a subject specific pedagogy evaluation (i.e., </w:t>
      </w:r>
      <w:r w:rsidR="009A1D71" w:rsidRPr="001B5DC7">
        <w:rPr>
          <w:rFonts w:asciiTheme="minorHAnsi" w:hAnsiTheme="minorHAnsi"/>
          <w:sz w:val="20"/>
          <w:szCs w:val="20"/>
        </w:rPr>
        <w:t>m</w:t>
      </w:r>
      <w:r w:rsidRPr="001B5DC7">
        <w:rPr>
          <w:rFonts w:asciiTheme="minorHAnsi" w:hAnsiTheme="minorHAnsi"/>
          <w:sz w:val="20"/>
          <w:szCs w:val="20"/>
        </w:rPr>
        <w:t>at</w:t>
      </w:r>
      <w:r w:rsidR="009F7397" w:rsidRPr="001B5DC7">
        <w:rPr>
          <w:rFonts w:asciiTheme="minorHAnsi" w:hAnsiTheme="minorHAnsi"/>
          <w:sz w:val="20"/>
          <w:szCs w:val="20"/>
        </w:rPr>
        <w:t>hematics</w:t>
      </w:r>
      <w:r w:rsidRPr="001B5DC7">
        <w:rPr>
          <w:rFonts w:asciiTheme="minorHAnsi" w:hAnsiTheme="minorHAnsi"/>
          <w:sz w:val="20"/>
          <w:szCs w:val="20"/>
        </w:rPr>
        <w:t>).</w:t>
      </w:r>
    </w:p>
    <w:p w14:paraId="67AD2F77" w14:textId="77777777" w:rsidR="00FE6F0A" w:rsidRPr="001B5DC7" w:rsidRDefault="00FE6F0A">
      <w:pPr>
        <w:ind w:left="-360" w:right="-360"/>
        <w:rPr>
          <w:rFonts w:asciiTheme="minorHAnsi" w:hAnsiTheme="minorHAnsi"/>
          <w:sz w:val="20"/>
          <w:szCs w:val="20"/>
        </w:rPr>
      </w:pPr>
    </w:p>
    <w:p w14:paraId="7A02C9B5" w14:textId="77777777" w:rsidR="00FE6F0A" w:rsidRPr="001B5DC7" w:rsidRDefault="00FE6F0A" w:rsidP="00B834B1">
      <w:pPr>
        <w:pStyle w:val="Heading2"/>
        <w:tabs>
          <w:tab w:val="clear" w:pos="432"/>
          <w:tab w:val="num" w:pos="360"/>
        </w:tabs>
        <w:ind w:hanging="1368"/>
        <w:rPr>
          <w:rFonts w:asciiTheme="minorHAnsi" w:hAnsiTheme="minorHAnsi"/>
          <w:sz w:val="20"/>
          <w:szCs w:val="20"/>
        </w:rPr>
      </w:pPr>
      <w:r w:rsidRPr="001B5DC7">
        <w:rPr>
          <w:rFonts w:asciiTheme="minorHAnsi" w:hAnsiTheme="minorHAnsi"/>
          <w:sz w:val="20"/>
          <w:szCs w:val="20"/>
        </w:rPr>
        <w:t>Sample</w:t>
      </w:r>
    </w:p>
    <w:p w14:paraId="58013105" w14:textId="77777777" w:rsidR="00BA165F" w:rsidRPr="001B5DC7" w:rsidRDefault="00BA165F" w:rsidP="00BA165F">
      <w:pPr>
        <w:ind w:left="360" w:right="-360"/>
        <w:rPr>
          <w:rFonts w:asciiTheme="minorHAnsi" w:hAnsiTheme="minorHAnsi"/>
          <w:b/>
          <w:sz w:val="20"/>
          <w:szCs w:val="20"/>
        </w:rPr>
      </w:pPr>
      <w:r w:rsidRPr="001B5DC7">
        <w:rPr>
          <w:rFonts w:asciiTheme="minorHAnsi" w:hAnsiTheme="minorHAnsi"/>
          <w:b/>
          <w:sz w:val="20"/>
          <w:szCs w:val="20"/>
        </w:rPr>
        <w:t>Describe the sampling approach. For experimental designs, include justification for sample size determination. Identify the procedures that will be used to recruit, screen, and follow study volunteers. Specifically define the study sample (number of subjects to be enrolled, characteristics of subjects to be included in and excluded from the research).</w:t>
      </w:r>
    </w:p>
    <w:p w14:paraId="40C267DB" w14:textId="77777777" w:rsidR="00BD34BB" w:rsidRPr="001B5DC7" w:rsidRDefault="00BD34BB" w:rsidP="00BA165F">
      <w:pPr>
        <w:ind w:left="360" w:right="-360"/>
        <w:rPr>
          <w:rFonts w:asciiTheme="minorHAnsi" w:hAnsiTheme="minorHAnsi"/>
          <w:sz w:val="20"/>
          <w:szCs w:val="20"/>
        </w:rPr>
      </w:pPr>
    </w:p>
    <w:p w14:paraId="7D170AA1" w14:textId="600F4AC3" w:rsidR="00BD34BB" w:rsidRPr="001B5DC7" w:rsidRDefault="00747814" w:rsidP="00B834B1">
      <w:pPr>
        <w:ind w:left="360" w:right="-360"/>
        <w:rPr>
          <w:rFonts w:asciiTheme="minorHAnsi" w:hAnsiTheme="minorHAnsi"/>
          <w:sz w:val="20"/>
          <w:szCs w:val="20"/>
        </w:rPr>
      </w:pPr>
      <w:r w:rsidRPr="001B5DC7">
        <w:rPr>
          <w:rFonts w:asciiTheme="minorHAnsi" w:hAnsiTheme="minorHAnsi"/>
          <w:sz w:val="20"/>
          <w:szCs w:val="20"/>
        </w:rPr>
        <w:t>For the majority of the analyses (construct validity, concurrent validity</w:t>
      </w:r>
      <w:r w:rsidR="000F2312" w:rsidRPr="001B5DC7">
        <w:rPr>
          <w:rFonts w:asciiTheme="minorHAnsi" w:hAnsiTheme="minorHAnsi"/>
          <w:sz w:val="20"/>
          <w:szCs w:val="20"/>
        </w:rPr>
        <w:t xml:space="preserve">, test-retest reliability, and internal consistency) </w:t>
      </w:r>
      <w:r w:rsidRPr="001B5DC7">
        <w:rPr>
          <w:rFonts w:asciiTheme="minorHAnsi" w:hAnsiTheme="minorHAnsi"/>
          <w:sz w:val="20"/>
          <w:szCs w:val="20"/>
        </w:rPr>
        <w:t xml:space="preserve">we will use all of the data from all of the forms for student teaching during the 2014-2015 academic year. We anticipate </w:t>
      </w:r>
      <w:proofErr w:type="gramStart"/>
      <w:r w:rsidRPr="001B5DC7">
        <w:rPr>
          <w:rFonts w:asciiTheme="minorHAnsi" w:hAnsiTheme="minorHAnsi"/>
          <w:sz w:val="20"/>
          <w:szCs w:val="20"/>
        </w:rPr>
        <w:t>to have</w:t>
      </w:r>
      <w:proofErr w:type="gramEnd"/>
      <w:r w:rsidRPr="001B5DC7">
        <w:rPr>
          <w:rFonts w:asciiTheme="minorHAnsi" w:hAnsiTheme="minorHAnsi"/>
          <w:sz w:val="20"/>
          <w:szCs w:val="20"/>
        </w:rPr>
        <w:t xml:space="preserve"> approximately 400 </w:t>
      </w:r>
      <w:r w:rsidR="00B2007C" w:rsidRPr="001B5DC7">
        <w:rPr>
          <w:rFonts w:asciiTheme="minorHAnsi" w:hAnsiTheme="minorHAnsi"/>
          <w:sz w:val="20"/>
          <w:szCs w:val="20"/>
        </w:rPr>
        <w:t xml:space="preserve">OSU </w:t>
      </w:r>
      <w:r w:rsidRPr="001B5DC7">
        <w:rPr>
          <w:rFonts w:asciiTheme="minorHAnsi" w:hAnsiTheme="minorHAnsi"/>
          <w:sz w:val="20"/>
          <w:szCs w:val="20"/>
        </w:rPr>
        <w:t>students who will be completing student teaching next year</w:t>
      </w:r>
      <w:r w:rsidR="00B2007C" w:rsidRPr="001B5DC7">
        <w:rPr>
          <w:rFonts w:asciiTheme="minorHAnsi" w:hAnsiTheme="minorHAnsi"/>
          <w:sz w:val="20"/>
          <w:szCs w:val="20"/>
        </w:rPr>
        <w:t xml:space="preserve"> and 500 students from </w:t>
      </w:r>
      <w:r w:rsidR="003E2DC7" w:rsidRPr="001B5DC7">
        <w:rPr>
          <w:rFonts w:asciiTheme="minorHAnsi" w:hAnsiTheme="minorHAnsi"/>
          <w:sz w:val="20"/>
          <w:szCs w:val="20"/>
        </w:rPr>
        <w:t xml:space="preserve">other </w:t>
      </w:r>
      <w:r w:rsidR="00B2007C" w:rsidRPr="001B5DC7">
        <w:rPr>
          <w:rFonts w:asciiTheme="minorHAnsi" w:hAnsiTheme="minorHAnsi"/>
          <w:sz w:val="20"/>
          <w:szCs w:val="20"/>
        </w:rPr>
        <w:t>IHEs in Ohio</w:t>
      </w:r>
      <w:r w:rsidRPr="001B5DC7">
        <w:rPr>
          <w:rFonts w:asciiTheme="minorHAnsi" w:hAnsiTheme="minorHAnsi"/>
          <w:sz w:val="20"/>
          <w:szCs w:val="20"/>
        </w:rPr>
        <w:t>.</w:t>
      </w:r>
      <w:r w:rsidR="000F2312" w:rsidRPr="001B5DC7">
        <w:rPr>
          <w:rFonts w:asciiTheme="minorHAnsi" w:hAnsiTheme="minorHAnsi"/>
          <w:sz w:val="20"/>
          <w:szCs w:val="20"/>
        </w:rPr>
        <w:t xml:space="preserve"> </w:t>
      </w:r>
      <w:r w:rsidR="00BD34BB" w:rsidRPr="001B5DC7">
        <w:rPr>
          <w:rFonts w:asciiTheme="minorHAnsi" w:hAnsiTheme="minorHAnsi"/>
          <w:sz w:val="20"/>
          <w:szCs w:val="20"/>
        </w:rPr>
        <w:t xml:space="preserve">The Office of Educator Preparation is responsible for collecting, managing, and/or accessing all of the data for students in </w:t>
      </w:r>
      <w:proofErr w:type="spellStart"/>
      <w:r w:rsidR="00BD34BB" w:rsidRPr="001B5DC7">
        <w:rPr>
          <w:rFonts w:asciiTheme="minorHAnsi" w:hAnsiTheme="minorHAnsi"/>
          <w:sz w:val="20"/>
          <w:szCs w:val="20"/>
        </w:rPr>
        <w:t>preservice</w:t>
      </w:r>
      <w:proofErr w:type="spellEnd"/>
      <w:r w:rsidR="00BD34BB" w:rsidRPr="001B5DC7">
        <w:rPr>
          <w:rFonts w:asciiTheme="minorHAnsi" w:hAnsiTheme="minorHAnsi"/>
          <w:sz w:val="20"/>
          <w:szCs w:val="20"/>
        </w:rPr>
        <w:t xml:space="preserve"> teacher preparation program</w:t>
      </w:r>
      <w:r w:rsidR="007D25F4" w:rsidRPr="001B5DC7">
        <w:rPr>
          <w:rFonts w:asciiTheme="minorHAnsi" w:hAnsiTheme="minorHAnsi"/>
          <w:sz w:val="20"/>
          <w:szCs w:val="20"/>
        </w:rPr>
        <w:t>s</w:t>
      </w:r>
      <w:r w:rsidR="003C041B">
        <w:rPr>
          <w:rFonts w:asciiTheme="minorHAnsi" w:hAnsiTheme="minorHAnsi"/>
          <w:sz w:val="20"/>
          <w:szCs w:val="20"/>
        </w:rPr>
        <w:t xml:space="preserve"> at OSU</w:t>
      </w:r>
      <w:r w:rsidR="00BD34BB" w:rsidRPr="001B5DC7">
        <w:rPr>
          <w:rFonts w:asciiTheme="minorHAnsi" w:hAnsiTheme="minorHAnsi"/>
          <w:sz w:val="20"/>
          <w:szCs w:val="20"/>
        </w:rPr>
        <w:t xml:space="preserve">. This is required as part of the accreditation process; therefore, our office already has access to all </w:t>
      </w:r>
      <w:r w:rsidR="003C041B">
        <w:rPr>
          <w:rFonts w:asciiTheme="minorHAnsi" w:hAnsiTheme="minorHAnsi"/>
          <w:sz w:val="20"/>
          <w:szCs w:val="20"/>
        </w:rPr>
        <w:t xml:space="preserve">OSU </w:t>
      </w:r>
      <w:proofErr w:type="spellStart"/>
      <w:r w:rsidR="00BD34BB" w:rsidRPr="001B5DC7">
        <w:rPr>
          <w:rFonts w:asciiTheme="minorHAnsi" w:hAnsiTheme="minorHAnsi"/>
          <w:sz w:val="20"/>
          <w:szCs w:val="20"/>
        </w:rPr>
        <w:t>preservice</w:t>
      </w:r>
      <w:proofErr w:type="spellEnd"/>
      <w:r w:rsidR="00BD34BB" w:rsidRPr="001B5DC7">
        <w:rPr>
          <w:rFonts w:asciiTheme="minorHAnsi" w:hAnsiTheme="minorHAnsi"/>
          <w:sz w:val="20"/>
          <w:szCs w:val="20"/>
        </w:rPr>
        <w:t xml:space="preserve"> teachers’ ratings on the student teaching evaluation forms through Tk20 (our data management system). </w:t>
      </w:r>
      <w:r w:rsidR="007D25F4" w:rsidRPr="001B5DC7">
        <w:rPr>
          <w:rFonts w:asciiTheme="minorHAnsi" w:hAnsiTheme="minorHAnsi"/>
          <w:sz w:val="20"/>
          <w:szCs w:val="20"/>
        </w:rPr>
        <w:t xml:space="preserve">We are not requesting access to new </w:t>
      </w:r>
      <w:r w:rsidR="003C041B">
        <w:rPr>
          <w:rFonts w:asciiTheme="minorHAnsi" w:hAnsiTheme="minorHAnsi"/>
          <w:sz w:val="20"/>
          <w:szCs w:val="20"/>
        </w:rPr>
        <w:t xml:space="preserve">sources of data for OSU students, </w:t>
      </w:r>
      <w:r w:rsidR="007D25F4" w:rsidRPr="001B5DC7">
        <w:rPr>
          <w:rFonts w:asciiTheme="minorHAnsi" w:hAnsiTheme="minorHAnsi"/>
          <w:sz w:val="20"/>
          <w:szCs w:val="20"/>
        </w:rPr>
        <w:t>we are asking permission to do a secondary analysis of data that will exist regardless of the research study.</w:t>
      </w:r>
      <w:r w:rsidR="003C041B">
        <w:rPr>
          <w:rFonts w:asciiTheme="minorHAnsi" w:hAnsiTheme="minorHAnsi"/>
          <w:sz w:val="20"/>
          <w:szCs w:val="20"/>
        </w:rPr>
        <w:t xml:space="preserve"> The other IHE’s who will participate in this study will also submit the ratings from the instruments of all of their students. </w:t>
      </w:r>
    </w:p>
    <w:p w14:paraId="77FFCD07" w14:textId="77777777" w:rsidR="000F2312" w:rsidRPr="001B5DC7" w:rsidRDefault="000F2312" w:rsidP="00B834B1">
      <w:pPr>
        <w:ind w:left="360" w:right="-360"/>
        <w:rPr>
          <w:rFonts w:asciiTheme="minorHAnsi" w:hAnsiTheme="minorHAnsi"/>
          <w:sz w:val="20"/>
          <w:szCs w:val="20"/>
        </w:rPr>
      </w:pPr>
    </w:p>
    <w:p w14:paraId="6372132D" w14:textId="234B8E0F" w:rsidR="004F14E7" w:rsidRPr="001B5DC7" w:rsidRDefault="000F2312" w:rsidP="00B834B1">
      <w:pPr>
        <w:ind w:left="360" w:right="-360"/>
        <w:rPr>
          <w:rFonts w:asciiTheme="minorHAnsi" w:hAnsiTheme="minorHAnsi"/>
          <w:sz w:val="20"/>
          <w:szCs w:val="20"/>
        </w:rPr>
      </w:pPr>
      <w:r w:rsidRPr="001B5DC7">
        <w:rPr>
          <w:rFonts w:asciiTheme="minorHAnsi" w:hAnsiTheme="minorHAnsi"/>
          <w:sz w:val="20"/>
          <w:szCs w:val="20"/>
        </w:rPr>
        <w:t xml:space="preserve">For the content validity portion of the study, we will invite </w:t>
      </w:r>
      <w:r w:rsidR="00712FA3" w:rsidRPr="001B5DC7">
        <w:rPr>
          <w:rFonts w:asciiTheme="minorHAnsi" w:hAnsiTheme="minorHAnsi"/>
          <w:sz w:val="20"/>
          <w:szCs w:val="20"/>
        </w:rPr>
        <w:t>approximately 5</w:t>
      </w:r>
      <w:r w:rsidR="00B2007C" w:rsidRPr="001B5DC7">
        <w:rPr>
          <w:rFonts w:asciiTheme="minorHAnsi" w:hAnsiTheme="minorHAnsi"/>
          <w:sz w:val="20"/>
          <w:szCs w:val="20"/>
        </w:rPr>
        <w:t xml:space="preserve"> </w:t>
      </w:r>
      <w:r w:rsidRPr="001B5DC7">
        <w:rPr>
          <w:rFonts w:asciiTheme="minorHAnsi" w:hAnsiTheme="minorHAnsi"/>
          <w:sz w:val="20"/>
          <w:szCs w:val="20"/>
        </w:rPr>
        <w:t xml:space="preserve">content experts from </w:t>
      </w:r>
      <w:r w:rsidR="009A1D71" w:rsidRPr="001B5DC7">
        <w:rPr>
          <w:rFonts w:asciiTheme="minorHAnsi" w:hAnsiTheme="minorHAnsi"/>
          <w:sz w:val="20"/>
          <w:szCs w:val="20"/>
        </w:rPr>
        <w:t>various educator preparation providers around the state</w:t>
      </w:r>
      <w:r w:rsidR="00B2007C" w:rsidRPr="001B5DC7">
        <w:rPr>
          <w:rFonts w:asciiTheme="minorHAnsi" w:hAnsiTheme="minorHAnsi"/>
          <w:sz w:val="20"/>
          <w:szCs w:val="20"/>
        </w:rPr>
        <w:t xml:space="preserve"> </w:t>
      </w:r>
      <w:r w:rsidRPr="001B5DC7">
        <w:rPr>
          <w:rFonts w:asciiTheme="minorHAnsi" w:hAnsiTheme="minorHAnsi"/>
          <w:sz w:val="20"/>
          <w:szCs w:val="20"/>
        </w:rPr>
        <w:t xml:space="preserve">to participate in the study. </w:t>
      </w:r>
      <w:r w:rsidR="004F14E7" w:rsidRPr="001B5DC7">
        <w:rPr>
          <w:rFonts w:asciiTheme="minorHAnsi" w:hAnsiTheme="minorHAnsi"/>
          <w:sz w:val="20"/>
          <w:szCs w:val="20"/>
        </w:rPr>
        <w:t xml:space="preserve">These experts will review the developed instrument </w:t>
      </w:r>
      <w:r w:rsidR="000E3997" w:rsidRPr="001B5DC7">
        <w:rPr>
          <w:rFonts w:asciiTheme="minorHAnsi" w:hAnsiTheme="minorHAnsi"/>
          <w:sz w:val="20"/>
          <w:szCs w:val="20"/>
        </w:rPr>
        <w:t xml:space="preserve">to </w:t>
      </w:r>
      <w:r w:rsidR="003C041B">
        <w:rPr>
          <w:rFonts w:asciiTheme="minorHAnsi" w:hAnsiTheme="minorHAnsi"/>
          <w:sz w:val="20"/>
          <w:szCs w:val="20"/>
        </w:rPr>
        <w:t>evaluate</w:t>
      </w:r>
      <w:r w:rsidR="0028761F" w:rsidRPr="001B5DC7">
        <w:rPr>
          <w:rFonts w:asciiTheme="minorHAnsi" w:hAnsiTheme="minorHAnsi"/>
          <w:sz w:val="20"/>
          <w:szCs w:val="20"/>
        </w:rPr>
        <w:t xml:space="preserve"> content validity using the rubrics in the appendices. </w:t>
      </w:r>
    </w:p>
    <w:p w14:paraId="09680BB5" w14:textId="77777777" w:rsidR="000F2312" w:rsidRPr="001B5DC7" w:rsidRDefault="000F2312" w:rsidP="00826F61">
      <w:pPr>
        <w:ind w:right="-360"/>
        <w:rPr>
          <w:rFonts w:asciiTheme="minorHAnsi" w:hAnsiTheme="minorHAnsi"/>
          <w:sz w:val="20"/>
          <w:szCs w:val="20"/>
        </w:rPr>
      </w:pPr>
    </w:p>
    <w:p w14:paraId="7795D6CC" w14:textId="20BE458D" w:rsidR="00F17AC6" w:rsidRPr="001B5DC7" w:rsidRDefault="00F17AC6" w:rsidP="00B834B1">
      <w:pPr>
        <w:ind w:left="360" w:right="-360"/>
        <w:rPr>
          <w:rFonts w:asciiTheme="minorHAnsi" w:hAnsiTheme="minorHAnsi"/>
          <w:bCs/>
          <w:sz w:val="20"/>
          <w:szCs w:val="20"/>
        </w:rPr>
      </w:pPr>
      <w:r w:rsidRPr="001B5DC7">
        <w:rPr>
          <w:rFonts w:asciiTheme="minorHAnsi" w:hAnsiTheme="minorHAnsi"/>
          <w:sz w:val="20"/>
          <w:szCs w:val="20"/>
        </w:rPr>
        <w:t xml:space="preserve">For </w:t>
      </w:r>
      <w:r w:rsidR="00B2007C" w:rsidRPr="001B5DC7">
        <w:rPr>
          <w:rFonts w:asciiTheme="minorHAnsi" w:hAnsiTheme="minorHAnsi"/>
          <w:sz w:val="20"/>
          <w:szCs w:val="20"/>
        </w:rPr>
        <w:t xml:space="preserve">the </w:t>
      </w:r>
      <w:r w:rsidRPr="001B5DC7">
        <w:rPr>
          <w:rFonts w:asciiTheme="minorHAnsi" w:hAnsiTheme="minorHAnsi"/>
          <w:sz w:val="20"/>
          <w:szCs w:val="20"/>
        </w:rPr>
        <w:t>inter-rater reliability</w:t>
      </w:r>
      <w:r w:rsidR="00DD5EE7" w:rsidRPr="001B5DC7">
        <w:rPr>
          <w:rFonts w:asciiTheme="minorHAnsi" w:hAnsiTheme="minorHAnsi"/>
          <w:sz w:val="20"/>
          <w:szCs w:val="20"/>
        </w:rPr>
        <w:t xml:space="preserve"> portion of the study</w:t>
      </w:r>
      <w:r w:rsidRPr="001B5DC7">
        <w:rPr>
          <w:rFonts w:asciiTheme="minorHAnsi" w:hAnsiTheme="minorHAnsi"/>
          <w:sz w:val="20"/>
          <w:szCs w:val="20"/>
        </w:rPr>
        <w:t xml:space="preserve">, </w:t>
      </w:r>
      <w:r w:rsidR="00B92A72" w:rsidRPr="001B5DC7">
        <w:rPr>
          <w:rFonts w:asciiTheme="minorHAnsi" w:hAnsiTheme="minorHAnsi"/>
          <w:sz w:val="20"/>
          <w:szCs w:val="20"/>
        </w:rPr>
        <w:t>we will select a random sample of 10% of the total sample to collect inter-rater agreement data</w:t>
      </w:r>
      <w:r w:rsidR="00DD5EE7" w:rsidRPr="001B5DC7">
        <w:rPr>
          <w:rFonts w:asciiTheme="minorHAnsi" w:hAnsiTheme="minorHAnsi"/>
          <w:sz w:val="20"/>
          <w:szCs w:val="20"/>
        </w:rPr>
        <w:t xml:space="preserve">. </w:t>
      </w:r>
      <w:r w:rsidR="000F2312" w:rsidRPr="001B5DC7">
        <w:rPr>
          <w:rFonts w:asciiTheme="minorHAnsi" w:hAnsiTheme="minorHAnsi"/>
          <w:sz w:val="20"/>
          <w:szCs w:val="20"/>
        </w:rPr>
        <w:t>Basic t</w:t>
      </w:r>
      <w:r w:rsidR="00DD5EE7" w:rsidRPr="001B5DC7">
        <w:rPr>
          <w:rFonts w:asciiTheme="minorHAnsi" w:hAnsiTheme="minorHAnsi"/>
          <w:sz w:val="20"/>
          <w:szCs w:val="20"/>
        </w:rPr>
        <w:t xml:space="preserve">raining </w:t>
      </w:r>
      <w:r w:rsidR="000F2312" w:rsidRPr="001B5DC7">
        <w:rPr>
          <w:rFonts w:asciiTheme="minorHAnsi" w:hAnsiTheme="minorHAnsi"/>
          <w:sz w:val="20"/>
          <w:szCs w:val="20"/>
        </w:rPr>
        <w:t xml:space="preserve">for how to complete the forms </w:t>
      </w:r>
      <w:r w:rsidR="00DD5EE7" w:rsidRPr="001B5DC7">
        <w:rPr>
          <w:rFonts w:asciiTheme="minorHAnsi" w:hAnsiTheme="minorHAnsi"/>
          <w:sz w:val="20"/>
          <w:szCs w:val="20"/>
        </w:rPr>
        <w:t xml:space="preserve">will be provided to all </w:t>
      </w:r>
      <w:r w:rsidR="00B2007C" w:rsidRPr="001B5DC7">
        <w:rPr>
          <w:rFonts w:asciiTheme="minorHAnsi" w:hAnsiTheme="minorHAnsi"/>
          <w:sz w:val="20"/>
          <w:szCs w:val="20"/>
        </w:rPr>
        <w:t>g</w:t>
      </w:r>
      <w:r w:rsidR="00DD5EE7" w:rsidRPr="001B5DC7">
        <w:rPr>
          <w:rFonts w:asciiTheme="minorHAnsi" w:hAnsiTheme="minorHAnsi"/>
          <w:sz w:val="20"/>
          <w:szCs w:val="20"/>
        </w:rPr>
        <w:t xml:space="preserve">raduate </w:t>
      </w:r>
      <w:r w:rsidR="00B2007C" w:rsidRPr="001B5DC7">
        <w:rPr>
          <w:rFonts w:asciiTheme="minorHAnsi" w:hAnsiTheme="minorHAnsi"/>
          <w:sz w:val="20"/>
          <w:szCs w:val="20"/>
        </w:rPr>
        <w:t>a</w:t>
      </w:r>
      <w:r w:rsidR="00DD5EE7" w:rsidRPr="001B5DC7">
        <w:rPr>
          <w:rFonts w:asciiTheme="minorHAnsi" w:hAnsiTheme="minorHAnsi"/>
          <w:sz w:val="20"/>
          <w:szCs w:val="20"/>
        </w:rPr>
        <w:t xml:space="preserve">ssistants, </w:t>
      </w:r>
      <w:r w:rsidR="00B2007C" w:rsidRPr="001B5DC7">
        <w:rPr>
          <w:rFonts w:asciiTheme="minorHAnsi" w:hAnsiTheme="minorHAnsi"/>
          <w:sz w:val="20"/>
          <w:szCs w:val="20"/>
        </w:rPr>
        <w:t>s</w:t>
      </w:r>
      <w:r w:rsidR="00DD5EE7" w:rsidRPr="001B5DC7">
        <w:rPr>
          <w:rFonts w:asciiTheme="minorHAnsi" w:hAnsiTheme="minorHAnsi"/>
          <w:sz w:val="20"/>
          <w:szCs w:val="20"/>
        </w:rPr>
        <w:t xml:space="preserve">taff, and </w:t>
      </w:r>
      <w:r w:rsidR="00B2007C" w:rsidRPr="001B5DC7">
        <w:rPr>
          <w:rFonts w:asciiTheme="minorHAnsi" w:hAnsiTheme="minorHAnsi"/>
          <w:sz w:val="20"/>
          <w:szCs w:val="20"/>
        </w:rPr>
        <w:t>f</w:t>
      </w:r>
      <w:r w:rsidR="00DD5EE7" w:rsidRPr="001B5DC7">
        <w:rPr>
          <w:rFonts w:asciiTheme="minorHAnsi" w:hAnsiTheme="minorHAnsi"/>
          <w:sz w:val="20"/>
          <w:szCs w:val="20"/>
        </w:rPr>
        <w:t xml:space="preserve">aculty </w:t>
      </w:r>
      <w:r w:rsidR="00B2007C" w:rsidRPr="001B5DC7">
        <w:rPr>
          <w:rFonts w:asciiTheme="minorHAnsi" w:hAnsiTheme="minorHAnsi"/>
          <w:sz w:val="20"/>
          <w:szCs w:val="20"/>
        </w:rPr>
        <w:t xml:space="preserve">members </w:t>
      </w:r>
      <w:r w:rsidR="00DD5EE7" w:rsidRPr="001B5DC7">
        <w:rPr>
          <w:rFonts w:asciiTheme="minorHAnsi" w:hAnsiTheme="minorHAnsi"/>
          <w:sz w:val="20"/>
          <w:szCs w:val="20"/>
        </w:rPr>
        <w:t xml:space="preserve">who supervise student teachers. </w:t>
      </w:r>
      <w:r w:rsidR="00B2007C" w:rsidRPr="001B5DC7">
        <w:rPr>
          <w:rFonts w:asciiTheme="minorHAnsi" w:hAnsiTheme="minorHAnsi"/>
          <w:sz w:val="20"/>
          <w:szCs w:val="20"/>
        </w:rPr>
        <w:t>These s</w:t>
      </w:r>
      <w:r w:rsidR="00DD5EE7" w:rsidRPr="001B5DC7">
        <w:rPr>
          <w:rFonts w:asciiTheme="minorHAnsi" w:hAnsiTheme="minorHAnsi"/>
          <w:sz w:val="20"/>
          <w:szCs w:val="20"/>
        </w:rPr>
        <w:t xml:space="preserve">upervisors will then have an opportunity to volunteer to do inter-rater reliability. Supervisors and student teachers who will be part of the inter-rater reliability sample </w:t>
      </w:r>
      <w:r w:rsidR="00037240" w:rsidRPr="001B5DC7">
        <w:rPr>
          <w:rFonts w:asciiTheme="minorHAnsi" w:hAnsiTheme="minorHAnsi"/>
          <w:sz w:val="20"/>
          <w:szCs w:val="20"/>
        </w:rPr>
        <w:t xml:space="preserve">must </w:t>
      </w:r>
      <w:r w:rsidR="00DD5EE7" w:rsidRPr="001B5DC7">
        <w:rPr>
          <w:rFonts w:asciiTheme="minorHAnsi" w:hAnsiTheme="minorHAnsi"/>
          <w:sz w:val="20"/>
          <w:szCs w:val="20"/>
        </w:rPr>
        <w:t xml:space="preserve">consent </w:t>
      </w:r>
      <w:r w:rsidR="00037240" w:rsidRPr="001B5DC7">
        <w:rPr>
          <w:rFonts w:asciiTheme="minorHAnsi" w:hAnsiTheme="minorHAnsi"/>
          <w:sz w:val="20"/>
          <w:szCs w:val="20"/>
        </w:rPr>
        <w:t>to be part of this study</w:t>
      </w:r>
      <w:r w:rsidR="00DD5EE7" w:rsidRPr="001B5DC7">
        <w:rPr>
          <w:rFonts w:asciiTheme="minorHAnsi" w:hAnsiTheme="minorHAnsi"/>
          <w:sz w:val="20"/>
          <w:szCs w:val="20"/>
        </w:rPr>
        <w:t xml:space="preserve">. </w:t>
      </w:r>
    </w:p>
    <w:p w14:paraId="4A5E4B37" w14:textId="77777777" w:rsidR="00FE6F0A" w:rsidRPr="001B5DC7" w:rsidRDefault="00FE6F0A">
      <w:pPr>
        <w:ind w:left="-360" w:right="-360"/>
        <w:rPr>
          <w:rFonts w:asciiTheme="minorHAnsi" w:hAnsiTheme="minorHAnsi"/>
          <w:sz w:val="20"/>
          <w:szCs w:val="20"/>
        </w:rPr>
      </w:pPr>
    </w:p>
    <w:p w14:paraId="1E78679B" w14:textId="77777777" w:rsidR="00FE6F0A" w:rsidRPr="001B5DC7" w:rsidRDefault="00FE6F0A" w:rsidP="00B834B1">
      <w:pPr>
        <w:pStyle w:val="Heading2"/>
        <w:tabs>
          <w:tab w:val="left" w:pos="360"/>
        </w:tabs>
        <w:ind w:hanging="1368"/>
        <w:rPr>
          <w:rFonts w:asciiTheme="minorHAnsi" w:hAnsiTheme="minorHAnsi"/>
          <w:sz w:val="20"/>
          <w:szCs w:val="20"/>
        </w:rPr>
      </w:pPr>
      <w:r w:rsidRPr="001B5DC7">
        <w:rPr>
          <w:rFonts w:asciiTheme="minorHAnsi" w:hAnsiTheme="minorHAnsi"/>
          <w:sz w:val="20"/>
          <w:szCs w:val="20"/>
        </w:rPr>
        <w:lastRenderedPageBreak/>
        <w:t>Measurement / Instrumentation</w:t>
      </w:r>
    </w:p>
    <w:p w14:paraId="0C2B6AFF" w14:textId="77777777" w:rsidR="00BA165F" w:rsidRPr="001B5DC7" w:rsidRDefault="00BA165F" w:rsidP="00BA165F">
      <w:pPr>
        <w:pStyle w:val="BlockText"/>
        <w:ind w:left="360"/>
        <w:rPr>
          <w:rFonts w:asciiTheme="minorHAnsi" w:hAnsiTheme="minorHAnsi"/>
          <w:b/>
          <w:sz w:val="20"/>
          <w:szCs w:val="20"/>
        </w:rPr>
      </w:pPr>
      <w:r w:rsidRPr="001B5DC7">
        <w:rPr>
          <w:rFonts w:asciiTheme="minorHAnsi" w:hAnsiTheme="minorHAnsi"/>
          <w:b/>
          <w:sz w:val="20"/>
          <w:szCs w:val="20"/>
        </w:rPr>
        <w:t>Identify the variables of interest and study endpoints (where applicable). Justify measurement techniques selected. Provide validity and reliability data for selected measures.</w:t>
      </w:r>
    </w:p>
    <w:p w14:paraId="78B46943" w14:textId="77777777" w:rsidR="00F03FD4" w:rsidRPr="001B5DC7" w:rsidRDefault="00F03FD4" w:rsidP="006548BA">
      <w:pPr>
        <w:pStyle w:val="BlockText"/>
        <w:ind w:left="360"/>
        <w:rPr>
          <w:rFonts w:asciiTheme="minorHAnsi" w:hAnsiTheme="minorHAnsi"/>
          <w:sz w:val="20"/>
          <w:szCs w:val="20"/>
        </w:rPr>
      </w:pPr>
    </w:p>
    <w:p w14:paraId="3C372B1F" w14:textId="38AB6BF5" w:rsidR="006548BA" w:rsidRPr="001B5DC7" w:rsidRDefault="006548BA" w:rsidP="006548BA">
      <w:pPr>
        <w:pStyle w:val="BlockText"/>
        <w:ind w:left="360"/>
        <w:rPr>
          <w:rFonts w:asciiTheme="minorHAnsi" w:hAnsiTheme="minorHAnsi"/>
          <w:sz w:val="20"/>
          <w:szCs w:val="20"/>
        </w:rPr>
      </w:pPr>
      <w:r w:rsidRPr="001B5DC7">
        <w:rPr>
          <w:rFonts w:asciiTheme="minorHAnsi" w:hAnsiTheme="minorHAnsi"/>
          <w:sz w:val="20"/>
          <w:szCs w:val="20"/>
        </w:rPr>
        <w:t xml:space="preserve">The instruments that will be evaluated as part of this study are included in the </w:t>
      </w:r>
      <w:r w:rsidRPr="006B0D7D">
        <w:rPr>
          <w:rFonts w:asciiTheme="minorHAnsi" w:hAnsiTheme="minorHAnsi"/>
          <w:sz w:val="20"/>
          <w:szCs w:val="20"/>
        </w:rPr>
        <w:t>Appendices A</w:t>
      </w:r>
      <w:r w:rsidR="003C041B" w:rsidRPr="006B0D7D">
        <w:rPr>
          <w:rFonts w:asciiTheme="minorHAnsi" w:hAnsiTheme="minorHAnsi"/>
          <w:sz w:val="20"/>
          <w:szCs w:val="20"/>
        </w:rPr>
        <w:t xml:space="preserve">. </w:t>
      </w:r>
      <w:r w:rsidRPr="006B0D7D">
        <w:rPr>
          <w:rFonts w:asciiTheme="minorHAnsi" w:hAnsiTheme="minorHAnsi"/>
          <w:sz w:val="20"/>
          <w:szCs w:val="20"/>
        </w:rPr>
        <w:t>Pedagogy, B</w:t>
      </w:r>
      <w:r w:rsidR="003C041B" w:rsidRPr="006B0D7D">
        <w:rPr>
          <w:rFonts w:asciiTheme="minorHAnsi" w:hAnsiTheme="minorHAnsi"/>
          <w:sz w:val="20"/>
          <w:szCs w:val="20"/>
        </w:rPr>
        <w:t>.</w:t>
      </w:r>
      <w:r w:rsidRPr="006B0D7D">
        <w:rPr>
          <w:rFonts w:asciiTheme="minorHAnsi" w:hAnsiTheme="minorHAnsi"/>
          <w:sz w:val="20"/>
          <w:szCs w:val="20"/>
        </w:rPr>
        <w:t xml:space="preserve"> Dispositions, and C</w:t>
      </w:r>
      <w:r w:rsidR="008D13FD" w:rsidRPr="006B0D7D">
        <w:rPr>
          <w:rFonts w:asciiTheme="minorHAnsi" w:hAnsiTheme="minorHAnsi"/>
          <w:sz w:val="20"/>
          <w:szCs w:val="20"/>
        </w:rPr>
        <w:t xml:space="preserve">. </w:t>
      </w:r>
      <w:r w:rsidRPr="006B0D7D">
        <w:rPr>
          <w:rFonts w:asciiTheme="minorHAnsi" w:hAnsiTheme="minorHAnsi"/>
          <w:sz w:val="20"/>
          <w:szCs w:val="20"/>
        </w:rPr>
        <w:t>Content Area Assessment</w:t>
      </w:r>
      <w:r w:rsidR="00053B1E" w:rsidRPr="006B0D7D">
        <w:rPr>
          <w:rFonts w:asciiTheme="minorHAnsi" w:hAnsiTheme="minorHAnsi"/>
          <w:sz w:val="20"/>
          <w:szCs w:val="20"/>
        </w:rPr>
        <w:t>s</w:t>
      </w:r>
      <w:r w:rsidRPr="006B0D7D">
        <w:rPr>
          <w:rFonts w:asciiTheme="minorHAnsi" w:hAnsiTheme="minorHAnsi"/>
          <w:sz w:val="20"/>
          <w:szCs w:val="20"/>
        </w:rPr>
        <w:t xml:space="preserve">). </w:t>
      </w:r>
      <w:r w:rsidR="008E48FE" w:rsidRPr="006B0D7D">
        <w:rPr>
          <w:rFonts w:asciiTheme="minorHAnsi" w:hAnsiTheme="minorHAnsi"/>
          <w:sz w:val="20"/>
          <w:szCs w:val="20"/>
        </w:rPr>
        <w:t>A rubric</w:t>
      </w:r>
      <w:r w:rsidRPr="006B0D7D">
        <w:rPr>
          <w:rFonts w:asciiTheme="minorHAnsi" w:hAnsiTheme="minorHAnsi"/>
          <w:sz w:val="20"/>
          <w:szCs w:val="20"/>
        </w:rPr>
        <w:t xml:space="preserve"> will be </w:t>
      </w:r>
      <w:r w:rsidR="00CB7385" w:rsidRPr="006B0D7D">
        <w:rPr>
          <w:rFonts w:asciiTheme="minorHAnsi" w:hAnsiTheme="minorHAnsi"/>
          <w:sz w:val="20"/>
          <w:szCs w:val="20"/>
        </w:rPr>
        <w:t>used to evaluate the instruments as part of the</w:t>
      </w:r>
      <w:r w:rsidRPr="006B0D7D">
        <w:rPr>
          <w:rFonts w:asciiTheme="minorHAnsi" w:hAnsiTheme="minorHAnsi"/>
          <w:sz w:val="20"/>
          <w:szCs w:val="20"/>
        </w:rPr>
        <w:t xml:space="preserve"> content validity portion of the study</w:t>
      </w:r>
      <w:r w:rsidR="00CB7385" w:rsidRPr="006B0D7D">
        <w:rPr>
          <w:rFonts w:asciiTheme="minorHAnsi" w:hAnsiTheme="minorHAnsi"/>
          <w:sz w:val="20"/>
          <w:szCs w:val="20"/>
        </w:rPr>
        <w:t xml:space="preserve"> and the rubrics are included in Appendix </w:t>
      </w:r>
      <w:r w:rsidR="008D13FD" w:rsidRPr="006B0D7D">
        <w:rPr>
          <w:rFonts w:asciiTheme="minorHAnsi" w:hAnsiTheme="minorHAnsi"/>
          <w:sz w:val="20"/>
          <w:szCs w:val="20"/>
        </w:rPr>
        <w:t>D</w:t>
      </w:r>
      <w:r w:rsidRPr="006B0D7D">
        <w:rPr>
          <w:rFonts w:asciiTheme="minorHAnsi" w:hAnsiTheme="minorHAnsi"/>
          <w:sz w:val="20"/>
          <w:szCs w:val="20"/>
        </w:rPr>
        <w:t xml:space="preserve">. </w:t>
      </w:r>
      <w:r w:rsidR="008E48FE" w:rsidRPr="006B0D7D">
        <w:rPr>
          <w:rFonts w:asciiTheme="minorHAnsi" w:hAnsiTheme="minorHAnsi"/>
          <w:sz w:val="20"/>
          <w:szCs w:val="20"/>
        </w:rPr>
        <w:t>Spe</w:t>
      </w:r>
      <w:r w:rsidR="008E48FE" w:rsidRPr="001B5DC7">
        <w:rPr>
          <w:rFonts w:asciiTheme="minorHAnsi" w:hAnsiTheme="minorHAnsi"/>
          <w:sz w:val="20"/>
          <w:szCs w:val="20"/>
        </w:rPr>
        <w:t xml:space="preserve">cifically, the rubric will be used by the content experts to </w:t>
      </w:r>
      <w:r w:rsidR="00053B1E" w:rsidRPr="001B5DC7">
        <w:rPr>
          <w:rFonts w:asciiTheme="minorHAnsi" w:hAnsiTheme="minorHAnsi"/>
          <w:sz w:val="20"/>
          <w:szCs w:val="20"/>
        </w:rPr>
        <w:t>evaluate each item for (1) representativeness of the content domain; (2) clarity of the item; (3) comprehensiveness of the measure.</w:t>
      </w:r>
    </w:p>
    <w:p w14:paraId="2B7E20CD" w14:textId="77777777" w:rsidR="00FE6F0A" w:rsidRPr="001B5DC7" w:rsidRDefault="00FE6F0A">
      <w:pPr>
        <w:pStyle w:val="BlockText"/>
        <w:rPr>
          <w:rFonts w:asciiTheme="minorHAnsi" w:hAnsiTheme="minorHAnsi"/>
          <w:sz w:val="20"/>
          <w:szCs w:val="20"/>
        </w:rPr>
      </w:pPr>
      <w:r w:rsidRPr="001B5DC7">
        <w:rPr>
          <w:rFonts w:asciiTheme="minorHAnsi" w:hAnsiTheme="minorHAnsi"/>
          <w:sz w:val="20"/>
          <w:szCs w:val="20"/>
        </w:rPr>
        <w:tab/>
      </w:r>
      <w:r w:rsidRPr="001B5DC7">
        <w:rPr>
          <w:rFonts w:asciiTheme="minorHAnsi" w:hAnsiTheme="minorHAnsi"/>
          <w:sz w:val="20"/>
          <w:szCs w:val="20"/>
        </w:rPr>
        <w:tab/>
      </w:r>
    </w:p>
    <w:p w14:paraId="20BD1877" w14:textId="77777777" w:rsidR="00FE6F0A" w:rsidRPr="001B5DC7" w:rsidRDefault="00FE6F0A" w:rsidP="00B834B1">
      <w:pPr>
        <w:pStyle w:val="Heading2"/>
        <w:tabs>
          <w:tab w:val="clear" w:pos="432"/>
          <w:tab w:val="num" w:pos="360"/>
        </w:tabs>
        <w:ind w:hanging="1368"/>
        <w:rPr>
          <w:rFonts w:asciiTheme="minorHAnsi" w:hAnsiTheme="minorHAnsi"/>
          <w:sz w:val="20"/>
          <w:szCs w:val="20"/>
        </w:rPr>
      </w:pPr>
      <w:r w:rsidRPr="001B5DC7">
        <w:rPr>
          <w:rFonts w:asciiTheme="minorHAnsi" w:hAnsiTheme="minorHAnsi"/>
          <w:sz w:val="20"/>
          <w:szCs w:val="20"/>
        </w:rPr>
        <w:t>Detailed study procedures</w:t>
      </w:r>
    </w:p>
    <w:p w14:paraId="1160455B" w14:textId="77777777" w:rsidR="00BA165F" w:rsidRPr="001B5DC7" w:rsidRDefault="00BA165F" w:rsidP="00BA165F">
      <w:pPr>
        <w:ind w:left="360" w:right="-360"/>
        <w:rPr>
          <w:rFonts w:asciiTheme="minorHAnsi" w:hAnsiTheme="minorHAnsi"/>
          <w:b/>
          <w:sz w:val="20"/>
          <w:szCs w:val="20"/>
        </w:rPr>
      </w:pPr>
      <w:r w:rsidRPr="001B5DC7">
        <w:rPr>
          <w:rFonts w:asciiTheme="minorHAnsi" w:hAnsiTheme="minorHAnsi"/>
          <w:b/>
          <w:sz w:val="20"/>
          <w:szCs w:val="20"/>
        </w:rPr>
        <w:t>Methods for study data collection and for avoiding / minimizing subject risks should be included. Include a timeline for subject evaluations and the duration of subject participation in the project. Identify the plans the proposed safeguards for subject confidentiality (plans for coding data and for securing written and electronic subject records). Indicate how long personal information will be stored once the study is completed.</w:t>
      </w:r>
    </w:p>
    <w:p w14:paraId="35516969" w14:textId="77777777" w:rsidR="000B768C" w:rsidRPr="001B5DC7" w:rsidRDefault="000B768C" w:rsidP="00B834B1">
      <w:pPr>
        <w:ind w:left="360" w:right="-360"/>
        <w:rPr>
          <w:rFonts w:asciiTheme="minorHAnsi" w:hAnsiTheme="minorHAnsi"/>
          <w:sz w:val="20"/>
          <w:szCs w:val="20"/>
        </w:rPr>
      </w:pPr>
    </w:p>
    <w:p w14:paraId="0F45A136" w14:textId="77777777" w:rsidR="00BA165F" w:rsidRPr="001B5DC7" w:rsidRDefault="00BA165F" w:rsidP="00BA165F">
      <w:pPr>
        <w:ind w:left="360" w:right="-360"/>
        <w:rPr>
          <w:rFonts w:asciiTheme="minorHAnsi" w:hAnsiTheme="minorHAnsi"/>
          <w:b/>
          <w:sz w:val="20"/>
          <w:szCs w:val="20"/>
        </w:rPr>
      </w:pPr>
      <w:r w:rsidRPr="001B5DC7">
        <w:rPr>
          <w:rFonts w:asciiTheme="minorHAnsi" w:hAnsiTheme="minorHAnsi"/>
          <w:b/>
          <w:sz w:val="20"/>
          <w:szCs w:val="20"/>
        </w:rPr>
        <w:t>Methods will vary with the research approach used (qualitative, quantitative). The selected methods should be sufficiently described to justify the use of the approach for answering the defined research question. Methods should also be described in adequate detail so that IRB members may assess the potential study risks and benefits.</w:t>
      </w:r>
    </w:p>
    <w:p w14:paraId="7D4653B4" w14:textId="77777777" w:rsidR="00BA165F" w:rsidRPr="001B5DC7" w:rsidRDefault="00BA165F" w:rsidP="00B834B1">
      <w:pPr>
        <w:ind w:left="360" w:right="-360"/>
        <w:rPr>
          <w:rFonts w:asciiTheme="minorHAnsi" w:hAnsiTheme="minorHAnsi"/>
          <w:sz w:val="20"/>
          <w:szCs w:val="20"/>
        </w:rPr>
      </w:pPr>
    </w:p>
    <w:p w14:paraId="0E061E59" w14:textId="77777777" w:rsidR="000B768C" w:rsidRPr="001B5DC7" w:rsidRDefault="000B768C" w:rsidP="000B768C">
      <w:pPr>
        <w:ind w:left="360" w:right="-360"/>
        <w:rPr>
          <w:rFonts w:asciiTheme="minorHAnsi" w:hAnsiTheme="minorHAnsi"/>
          <w:b/>
          <w:sz w:val="20"/>
          <w:szCs w:val="20"/>
        </w:rPr>
      </w:pPr>
      <w:r w:rsidRPr="001B5DC7">
        <w:rPr>
          <w:rFonts w:asciiTheme="minorHAnsi" w:hAnsiTheme="minorHAnsi"/>
          <w:b/>
          <w:sz w:val="20"/>
          <w:szCs w:val="20"/>
        </w:rPr>
        <w:t>Validity Studies:</w:t>
      </w:r>
    </w:p>
    <w:p w14:paraId="1BC6FCD9" w14:textId="77777777" w:rsidR="000B768C" w:rsidRPr="001B5DC7" w:rsidRDefault="000B768C" w:rsidP="000B768C">
      <w:pPr>
        <w:ind w:left="360" w:right="-360"/>
        <w:rPr>
          <w:rFonts w:asciiTheme="minorHAnsi" w:hAnsiTheme="minorHAnsi"/>
          <w:sz w:val="20"/>
          <w:szCs w:val="20"/>
        </w:rPr>
      </w:pPr>
    </w:p>
    <w:p w14:paraId="3BDED35E" w14:textId="65B8A6B5" w:rsidR="000B768C" w:rsidRPr="001B5DC7" w:rsidRDefault="00BC20AB" w:rsidP="000B768C">
      <w:pPr>
        <w:ind w:left="360" w:right="-360"/>
        <w:rPr>
          <w:rFonts w:asciiTheme="minorHAnsi" w:hAnsiTheme="minorHAnsi"/>
          <w:sz w:val="20"/>
          <w:szCs w:val="20"/>
        </w:rPr>
      </w:pPr>
      <w:r w:rsidRPr="001B5DC7">
        <w:rPr>
          <w:rFonts w:asciiTheme="minorHAnsi" w:hAnsiTheme="minorHAnsi"/>
          <w:sz w:val="20"/>
          <w:szCs w:val="20"/>
        </w:rPr>
        <w:t xml:space="preserve">Several types of validity and reliability analyses will be conducted within this study. Procedures for each of these </w:t>
      </w:r>
      <w:r w:rsidR="003D601B" w:rsidRPr="001B5DC7">
        <w:rPr>
          <w:rFonts w:asciiTheme="minorHAnsi" w:hAnsiTheme="minorHAnsi"/>
          <w:sz w:val="20"/>
          <w:szCs w:val="20"/>
        </w:rPr>
        <w:t>portions of the study</w:t>
      </w:r>
      <w:r w:rsidRPr="001B5DC7">
        <w:rPr>
          <w:rFonts w:asciiTheme="minorHAnsi" w:hAnsiTheme="minorHAnsi"/>
          <w:sz w:val="20"/>
          <w:szCs w:val="20"/>
        </w:rPr>
        <w:t xml:space="preserve"> are described in the following sections. The first part of the study includes an analysis to investigate the </w:t>
      </w:r>
      <w:r w:rsidR="000B768C" w:rsidRPr="001B5DC7">
        <w:rPr>
          <w:rFonts w:asciiTheme="minorHAnsi" w:hAnsiTheme="minorHAnsi"/>
          <w:b/>
          <w:sz w:val="20"/>
          <w:szCs w:val="20"/>
        </w:rPr>
        <w:t>content validity</w:t>
      </w:r>
      <w:r w:rsidRPr="001B5DC7">
        <w:rPr>
          <w:rFonts w:asciiTheme="minorHAnsi" w:hAnsiTheme="minorHAnsi"/>
          <w:b/>
          <w:sz w:val="20"/>
          <w:szCs w:val="20"/>
        </w:rPr>
        <w:t xml:space="preserve"> </w:t>
      </w:r>
      <w:r w:rsidRPr="001B5DC7">
        <w:rPr>
          <w:rFonts w:asciiTheme="minorHAnsi" w:hAnsiTheme="minorHAnsi"/>
          <w:sz w:val="20"/>
          <w:szCs w:val="20"/>
        </w:rPr>
        <w:t>of the evaluation instruments</w:t>
      </w:r>
      <w:r w:rsidR="003D601B" w:rsidRPr="001B5DC7">
        <w:rPr>
          <w:rFonts w:asciiTheme="minorHAnsi" w:hAnsiTheme="minorHAnsi"/>
          <w:sz w:val="20"/>
          <w:szCs w:val="20"/>
        </w:rPr>
        <w:t>. For this, we will recruit</w:t>
      </w:r>
      <w:r w:rsidR="000B768C" w:rsidRPr="001B5DC7">
        <w:rPr>
          <w:rFonts w:asciiTheme="minorHAnsi" w:hAnsiTheme="minorHAnsi"/>
          <w:sz w:val="20"/>
          <w:szCs w:val="20"/>
        </w:rPr>
        <w:t xml:space="preserve"> </w:t>
      </w:r>
      <w:r w:rsidR="003C041B">
        <w:rPr>
          <w:rFonts w:asciiTheme="minorHAnsi" w:hAnsiTheme="minorHAnsi"/>
          <w:sz w:val="20"/>
          <w:szCs w:val="20"/>
        </w:rPr>
        <w:t xml:space="preserve">five </w:t>
      </w:r>
      <w:r w:rsidR="000B768C" w:rsidRPr="001B5DC7">
        <w:rPr>
          <w:rFonts w:asciiTheme="minorHAnsi" w:hAnsiTheme="minorHAnsi"/>
          <w:sz w:val="20"/>
          <w:szCs w:val="20"/>
        </w:rPr>
        <w:t xml:space="preserve">experts </w:t>
      </w:r>
      <w:r w:rsidR="003D601B" w:rsidRPr="001B5DC7">
        <w:rPr>
          <w:rFonts w:asciiTheme="minorHAnsi" w:hAnsiTheme="minorHAnsi"/>
          <w:sz w:val="20"/>
          <w:szCs w:val="20"/>
        </w:rPr>
        <w:t xml:space="preserve">in teacher preparation across the state to </w:t>
      </w:r>
      <w:r w:rsidR="002F740C" w:rsidRPr="001B5DC7">
        <w:rPr>
          <w:rFonts w:asciiTheme="minorHAnsi" w:hAnsiTheme="minorHAnsi"/>
          <w:sz w:val="20"/>
          <w:szCs w:val="20"/>
        </w:rPr>
        <w:t xml:space="preserve">evaluate the instruments using the rubrics included in </w:t>
      </w:r>
      <w:r w:rsidR="002F740C" w:rsidRPr="006B0D7D">
        <w:rPr>
          <w:rFonts w:asciiTheme="minorHAnsi" w:hAnsiTheme="minorHAnsi"/>
          <w:sz w:val="20"/>
          <w:szCs w:val="20"/>
        </w:rPr>
        <w:t xml:space="preserve">Appendix </w:t>
      </w:r>
      <w:r w:rsidR="008D13FD" w:rsidRPr="006B0D7D">
        <w:rPr>
          <w:rFonts w:asciiTheme="minorHAnsi" w:hAnsiTheme="minorHAnsi"/>
          <w:sz w:val="20"/>
          <w:szCs w:val="20"/>
        </w:rPr>
        <w:t>D</w:t>
      </w:r>
      <w:r w:rsidR="002F740C" w:rsidRPr="006B0D7D">
        <w:rPr>
          <w:rFonts w:asciiTheme="minorHAnsi" w:hAnsiTheme="minorHAnsi"/>
          <w:sz w:val="20"/>
          <w:szCs w:val="20"/>
        </w:rPr>
        <w:t>.</w:t>
      </w:r>
      <w:r w:rsidR="002F740C" w:rsidRPr="001B5DC7">
        <w:rPr>
          <w:rFonts w:asciiTheme="minorHAnsi" w:hAnsiTheme="minorHAnsi"/>
          <w:sz w:val="20"/>
          <w:szCs w:val="20"/>
        </w:rPr>
        <w:t xml:space="preserve"> These experts are serving on a </w:t>
      </w:r>
      <w:r w:rsidR="00C2795A" w:rsidRPr="001B5DC7">
        <w:rPr>
          <w:rFonts w:asciiTheme="minorHAnsi" w:hAnsiTheme="minorHAnsi"/>
          <w:sz w:val="20"/>
          <w:szCs w:val="20"/>
        </w:rPr>
        <w:t xml:space="preserve">Valid And Reliable Instruments for Educator Preparation </w:t>
      </w:r>
      <w:r w:rsidR="00693DE4" w:rsidRPr="001B5DC7">
        <w:rPr>
          <w:rFonts w:asciiTheme="minorHAnsi" w:hAnsiTheme="minorHAnsi"/>
          <w:sz w:val="20"/>
          <w:szCs w:val="20"/>
        </w:rPr>
        <w:t xml:space="preserve">(VARI-EPP) </w:t>
      </w:r>
      <w:r w:rsidR="00B2007C" w:rsidRPr="001B5DC7">
        <w:rPr>
          <w:rFonts w:asciiTheme="minorHAnsi" w:hAnsiTheme="minorHAnsi"/>
          <w:sz w:val="20"/>
          <w:szCs w:val="20"/>
        </w:rPr>
        <w:t xml:space="preserve">Evaluation </w:t>
      </w:r>
      <w:r w:rsidR="002F740C" w:rsidRPr="001B5DC7">
        <w:rPr>
          <w:rFonts w:asciiTheme="minorHAnsi" w:hAnsiTheme="minorHAnsi"/>
          <w:sz w:val="20"/>
          <w:szCs w:val="20"/>
        </w:rPr>
        <w:t xml:space="preserve">Committee that </w:t>
      </w:r>
      <w:r w:rsidR="00693DE4" w:rsidRPr="001B5DC7">
        <w:rPr>
          <w:rFonts w:asciiTheme="minorHAnsi" w:hAnsiTheme="minorHAnsi"/>
          <w:sz w:val="20"/>
          <w:szCs w:val="20"/>
        </w:rPr>
        <w:t xml:space="preserve">The </w:t>
      </w:r>
      <w:r w:rsidR="002F740C" w:rsidRPr="001B5DC7">
        <w:rPr>
          <w:rFonts w:asciiTheme="minorHAnsi" w:hAnsiTheme="minorHAnsi"/>
          <w:sz w:val="20"/>
          <w:szCs w:val="20"/>
        </w:rPr>
        <w:t xml:space="preserve">Ohio State University has convened and currently chairs. The content experts will be given the evaluation </w:t>
      </w:r>
      <w:r w:rsidR="00D62664" w:rsidRPr="001B5DC7">
        <w:rPr>
          <w:rFonts w:asciiTheme="minorHAnsi" w:hAnsiTheme="minorHAnsi"/>
          <w:sz w:val="20"/>
          <w:szCs w:val="20"/>
        </w:rPr>
        <w:t xml:space="preserve">instruments </w:t>
      </w:r>
      <w:r w:rsidR="002F740C" w:rsidRPr="001B5DC7">
        <w:rPr>
          <w:rFonts w:asciiTheme="minorHAnsi" w:hAnsiTheme="minorHAnsi"/>
          <w:sz w:val="20"/>
          <w:szCs w:val="20"/>
        </w:rPr>
        <w:t xml:space="preserve">and corresponding rubrics and they </w:t>
      </w:r>
      <w:r w:rsidR="000B768C" w:rsidRPr="001B5DC7">
        <w:rPr>
          <w:rFonts w:asciiTheme="minorHAnsi" w:hAnsiTheme="minorHAnsi"/>
          <w:sz w:val="20"/>
          <w:szCs w:val="20"/>
        </w:rPr>
        <w:t xml:space="preserve">will be asked to rate each item of the instruments with the following criteria: (1) representativeness of the content domain; (2) clarity of the item; </w:t>
      </w:r>
      <w:r w:rsidR="002F740C" w:rsidRPr="001B5DC7">
        <w:rPr>
          <w:rFonts w:asciiTheme="minorHAnsi" w:hAnsiTheme="minorHAnsi"/>
          <w:sz w:val="20"/>
          <w:szCs w:val="20"/>
        </w:rPr>
        <w:t xml:space="preserve">and </w:t>
      </w:r>
      <w:r w:rsidR="000B768C" w:rsidRPr="001B5DC7">
        <w:rPr>
          <w:rFonts w:asciiTheme="minorHAnsi" w:hAnsiTheme="minorHAnsi"/>
          <w:sz w:val="20"/>
          <w:szCs w:val="20"/>
        </w:rPr>
        <w:t xml:space="preserve">(3) comprehensiveness of the measure. </w:t>
      </w:r>
      <w:r w:rsidR="00AC5752" w:rsidRPr="001B5DC7">
        <w:rPr>
          <w:rFonts w:asciiTheme="minorHAnsi" w:hAnsiTheme="minorHAnsi"/>
          <w:sz w:val="20"/>
          <w:szCs w:val="20"/>
        </w:rPr>
        <w:t>R</w:t>
      </w:r>
      <w:r w:rsidR="009557D6" w:rsidRPr="001B5DC7">
        <w:rPr>
          <w:rFonts w:asciiTheme="minorHAnsi" w:hAnsiTheme="minorHAnsi"/>
          <w:sz w:val="20"/>
          <w:szCs w:val="20"/>
        </w:rPr>
        <w:t>ubrics will be reviewed for percentage of exact agreement and adjacent agreement</w:t>
      </w:r>
      <w:r w:rsidR="00CB7385" w:rsidRPr="001B5DC7">
        <w:rPr>
          <w:rFonts w:asciiTheme="minorHAnsi" w:hAnsiTheme="minorHAnsi"/>
          <w:sz w:val="20"/>
          <w:szCs w:val="20"/>
        </w:rPr>
        <w:t xml:space="preserve"> for each rubric item</w:t>
      </w:r>
      <w:r w:rsidR="009557D6" w:rsidRPr="001B5DC7">
        <w:rPr>
          <w:rFonts w:asciiTheme="minorHAnsi" w:hAnsiTheme="minorHAnsi"/>
          <w:sz w:val="20"/>
          <w:szCs w:val="20"/>
        </w:rPr>
        <w:t xml:space="preserve">. </w:t>
      </w:r>
      <w:r w:rsidR="00AC5752" w:rsidRPr="001B5DC7">
        <w:rPr>
          <w:rFonts w:asciiTheme="minorHAnsi" w:hAnsiTheme="minorHAnsi"/>
          <w:sz w:val="20"/>
          <w:szCs w:val="20"/>
        </w:rPr>
        <w:t>Also</w:t>
      </w:r>
      <w:r w:rsidR="009557D6" w:rsidRPr="001B5DC7">
        <w:rPr>
          <w:rFonts w:asciiTheme="minorHAnsi" w:hAnsiTheme="minorHAnsi"/>
          <w:sz w:val="20"/>
          <w:szCs w:val="20"/>
        </w:rPr>
        <w:t xml:space="preserve">, a </w:t>
      </w:r>
      <w:r w:rsidR="000B768C" w:rsidRPr="001B5DC7">
        <w:rPr>
          <w:rFonts w:asciiTheme="minorHAnsi" w:hAnsiTheme="minorHAnsi"/>
          <w:sz w:val="20"/>
          <w:szCs w:val="20"/>
        </w:rPr>
        <w:t xml:space="preserve">content validity </w:t>
      </w:r>
      <w:r w:rsidR="009557D6" w:rsidRPr="001B5DC7">
        <w:rPr>
          <w:rFonts w:asciiTheme="minorHAnsi" w:hAnsiTheme="minorHAnsi"/>
          <w:sz w:val="20"/>
          <w:szCs w:val="20"/>
        </w:rPr>
        <w:t>ratio will be calculated using the following formula: CVR</w:t>
      </w:r>
      <w:r w:rsidR="00C80B48" w:rsidRPr="001B5DC7">
        <w:rPr>
          <w:rFonts w:asciiTheme="minorHAnsi" w:hAnsiTheme="minorHAnsi"/>
          <w:sz w:val="20"/>
          <w:szCs w:val="20"/>
        </w:rPr>
        <w:t xml:space="preserve"> = [(E - (N/ 2)) / (N/ 2)] where N stands for the total number of experts and E stands for the number who rated the object as essential. </w:t>
      </w:r>
    </w:p>
    <w:p w14:paraId="6E5FA260" w14:textId="77777777" w:rsidR="00AC5752" w:rsidRPr="001B5DC7" w:rsidRDefault="00AC5752" w:rsidP="000B768C">
      <w:pPr>
        <w:ind w:left="360" w:right="-360"/>
        <w:rPr>
          <w:rFonts w:asciiTheme="minorHAnsi" w:hAnsiTheme="minorHAnsi"/>
          <w:sz w:val="20"/>
          <w:szCs w:val="20"/>
        </w:rPr>
      </w:pPr>
    </w:p>
    <w:p w14:paraId="65E525EC" w14:textId="27A57BB8" w:rsidR="00DF4221" w:rsidRPr="001B5DC7" w:rsidRDefault="000B768C" w:rsidP="000B768C">
      <w:pPr>
        <w:ind w:left="360" w:right="-360"/>
        <w:rPr>
          <w:rFonts w:asciiTheme="minorHAnsi" w:hAnsiTheme="minorHAnsi"/>
          <w:sz w:val="20"/>
          <w:szCs w:val="20"/>
        </w:rPr>
      </w:pPr>
      <w:r w:rsidRPr="001B5DC7">
        <w:rPr>
          <w:rFonts w:asciiTheme="minorHAnsi" w:hAnsiTheme="minorHAnsi"/>
          <w:sz w:val="20"/>
          <w:szCs w:val="20"/>
        </w:rPr>
        <w:t xml:space="preserve">For </w:t>
      </w:r>
      <w:r w:rsidRPr="001B5DC7">
        <w:rPr>
          <w:rFonts w:asciiTheme="minorHAnsi" w:hAnsiTheme="minorHAnsi"/>
          <w:b/>
          <w:sz w:val="20"/>
          <w:szCs w:val="20"/>
        </w:rPr>
        <w:t>construct validity</w:t>
      </w:r>
      <w:r w:rsidRPr="001B5DC7">
        <w:rPr>
          <w:rFonts w:asciiTheme="minorHAnsi" w:hAnsiTheme="minorHAnsi"/>
          <w:sz w:val="20"/>
          <w:szCs w:val="20"/>
        </w:rPr>
        <w:t xml:space="preserve">, the </w:t>
      </w:r>
      <w:r w:rsidR="00DF4221" w:rsidRPr="001B5DC7">
        <w:rPr>
          <w:rFonts w:asciiTheme="minorHAnsi" w:hAnsiTheme="minorHAnsi"/>
          <w:sz w:val="20"/>
          <w:szCs w:val="20"/>
        </w:rPr>
        <w:t>ratings that are given to student teachers</w:t>
      </w:r>
      <w:r w:rsidRPr="001B5DC7">
        <w:rPr>
          <w:rFonts w:asciiTheme="minorHAnsi" w:hAnsiTheme="minorHAnsi"/>
          <w:sz w:val="20"/>
          <w:szCs w:val="20"/>
        </w:rPr>
        <w:t xml:space="preserve"> </w:t>
      </w:r>
      <w:r w:rsidR="00DF4221" w:rsidRPr="001B5DC7">
        <w:rPr>
          <w:rFonts w:asciiTheme="minorHAnsi" w:hAnsiTheme="minorHAnsi"/>
          <w:sz w:val="20"/>
          <w:szCs w:val="20"/>
        </w:rPr>
        <w:t>on the evaluation</w:t>
      </w:r>
      <w:r w:rsidR="00735394" w:rsidRPr="001B5DC7">
        <w:rPr>
          <w:rFonts w:asciiTheme="minorHAnsi" w:hAnsiTheme="minorHAnsi"/>
          <w:sz w:val="20"/>
          <w:szCs w:val="20"/>
        </w:rPr>
        <w:t xml:space="preserve"> instrument</w:t>
      </w:r>
      <w:r w:rsidR="00DF4221" w:rsidRPr="001B5DC7">
        <w:rPr>
          <w:rFonts w:asciiTheme="minorHAnsi" w:hAnsiTheme="minorHAnsi"/>
          <w:sz w:val="20"/>
          <w:szCs w:val="20"/>
        </w:rPr>
        <w:t>s</w:t>
      </w:r>
      <w:r w:rsidRPr="001B5DC7">
        <w:rPr>
          <w:rFonts w:asciiTheme="minorHAnsi" w:hAnsiTheme="minorHAnsi"/>
          <w:sz w:val="20"/>
          <w:szCs w:val="20"/>
        </w:rPr>
        <w:t xml:space="preserve"> will be used to conduct a factor analysis. The factor analysis will </w:t>
      </w:r>
      <w:r w:rsidR="00DF4221" w:rsidRPr="001B5DC7">
        <w:rPr>
          <w:rFonts w:asciiTheme="minorHAnsi" w:hAnsiTheme="minorHAnsi"/>
          <w:sz w:val="20"/>
          <w:szCs w:val="20"/>
        </w:rPr>
        <w:t>provide information to answer</w:t>
      </w:r>
      <w:r w:rsidRPr="001B5DC7">
        <w:rPr>
          <w:rFonts w:asciiTheme="minorHAnsi" w:hAnsiTheme="minorHAnsi"/>
          <w:sz w:val="20"/>
          <w:szCs w:val="20"/>
        </w:rPr>
        <w:t xml:space="preserve"> the following questions: 1) </w:t>
      </w:r>
      <w:proofErr w:type="gramStart"/>
      <w:r w:rsidRPr="001B5DC7">
        <w:rPr>
          <w:rFonts w:asciiTheme="minorHAnsi" w:hAnsiTheme="minorHAnsi"/>
          <w:sz w:val="20"/>
          <w:szCs w:val="20"/>
        </w:rPr>
        <w:t>Is</w:t>
      </w:r>
      <w:proofErr w:type="gramEnd"/>
      <w:r w:rsidRPr="001B5DC7">
        <w:rPr>
          <w:rFonts w:asciiTheme="minorHAnsi" w:hAnsiTheme="minorHAnsi"/>
          <w:sz w:val="20"/>
          <w:szCs w:val="20"/>
        </w:rPr>
        <w:t xml:space="preserve"> the instrument measuring multiple constructs? And 2) Are the items </w:t>
      </w:r>
      <w:r w:rsidR="00DF4221" w:rsidRPr="001B5DC7">
        <w:rPr>
          <w:rFonts w:asciiTheme="minorHAnsi" w:hAnsiTheme="minorHAnsi"/>
          <w:sz w:val="20"/>
          <w:szCs w:val="20"/>
        </w:rPr>
        <w:t xml:space="preserve">on the instrument </w:t>
      </w:r>
      <w:r w:rsidRPr="001B5DC7">
        <w:rPr>
          <w:rFonts w:asciiTheme="minorHAnsi" w:hAnsiTheme="minorHAnsi"/>
          <w:sz w:val="20"/>
          <w:szCs w:val="20"/>
        </w:rPr>
        <w:t xml:space="preserve">correlated amongst themselves? This information can be used to help the developers eliminate </w:t>
      </w:r>
      <w:r w:rsidR="00DF4221" w:rsidRPr="001B5DC7">
        <w:rPr>
          <w:rFonts w:asciiTheme="minorHAnsi" w:hAnsiTheme="minorHAnsi"/>
          <w:sz w:val="20"/>
          <w:szCs w:val="20"/>
        </w:rPr>
        <w:t>poorly written</w:t>
      </w:r>
      <w:r w:rsidRPr="001B5DC7">
        <w:rPr>
          <w:rFonts w:asciiTheme="minorHAnsi" w:hAnsiTheme="minorHAnsi"/>
          <w:sz w:val="20"/>
          <w:szCs w:val="20"/>
        </w:rPr>
        <w:t xml:space="preserve"> items on the instrument. </w:t>
      </w:r>
    </w:p>
    <w:p w14:paraId="22ECC20D" w14:textId="77777777" w:rsidR="00A67D15" w:rsidRPr="001B5DC7" w:rsidRDefault="00A67D15" w:rsidP="000B768C">
      <w:pPr>
        <w:ind w:left="360" w:right="-360"/>
        <w:rPr>
          <w:rFonts w:asciiTheme="minorHAnsi" w:hAnsiTheme="minorHAnsi"/>
          <w:sz w:val="20"/>
          <w:szCs w:val="20"/>
        </w:rPr>
      </w:pPr>
    </w:p>
    <w:p w14:paraId="6FDD351A" w14:textId="54A01CA2" w:rsidR="000B768C" w:rsidRPr="001B5DC7" w:rsidRDefault="000B768C" w:rsidP="000B768C">
      <w:pPr>
        <w:ind w:left="360" w:right="-360"/>
        <w:rPr>
          <w:rFonts w:asciiTheme="minorHAnsi" w:hAnsiTheme="minorHAnsi"/>
          <w:sz w:val="20"/>
          <w:szCs w:val="20"/>
        </w:rPr>
      </w:pPr>
      <w:r w:rsidRPr="001B5DC7">
        <w:rPr>
          <w:rFonts w:asciiTheme="minorHAnsi" w:hAnsiTheme="minorHAnsi"/>
          <w:sz w:val="20"/>
          <w:szCs w:val="20"/>
        </w:rPr>
        <w:t xml:space="preserve">For </w:t>
      </w:r>
      <w:r w:rsidRPr="001B5DC7">
        <w:rPr>
          <w:rFonts w:asciiTheme="minorHAnsi" w:hAnsiTheme="minorHAnsi"/>
          <w:b/>
          <w:sz w:val="20"/>
          <w:szCs w:val="20"/>
        </w:rPr>
        <w:t>concurrent validity</w:t>
      </w:r>
      <w:r w:rsidRPr="001B5DC7">
        <w:rPr>
          <w:rFonts w:asciiTheme="minorHAnsi" w:hAnsiTheme="minorHAnsi"/>
          <w:sz w:val="20"/>
          <w:szCs w:val="20"/>
        </w:rPr>
        <w:t>, we will use a multiple regression analysis to see if there are correlations between students’ performance on the student teaching evaluation</w:t>
      </w:r>
      <w:r w:rsidR="00D62664" w:rsidRPr="001B5DC7">
        <w:rPr>
          <w:rFonts w:asciiTheme="minorHAnsi" w:hAnsiTheme="minorHAnsi"/>
          <w:sz w:val="20"/>
          <w:szCs w:val="20"/>
        </w:rPr>
        <w:t xml:space="preserve"> instrument</w:t>
      </w:r>
      <w:r w:rsidRPr="001B5DC7">
        <w:rPr>
          <w:rFonts w:asciiTheme="minorHAnsi" w:hAnsiTheme="minorHAnsi"/>
          <w:sz w:val="20"/>
          <w:szCs w:val="20"/>
        </w:rPr>
        <w:t xml:space="preserve">s and </w:t>
      </w:r>
      <w:r w:rsidR="00CC7A40" w:rsidRPr="001B5DC7">
        <w:rPr>
          <w:rFonts w:asciiTheme="minorHAnsi" w:hAnsiTheme="minorHAnsi"/>
          <w:sz w:val="20"/>
          <w:szCs w:val="20"/>
        </w:rPr>
        <w:t>other performance and knowledge assessments that could be potentially related to the evaluation</w:t>
      </w:r>
      <w:r w:rsidR="00D62664" w:rsidRPr="001B5DC7">
        <w:rPr>
          <w:rFonts w:asciiTheme="minorHAnsi" w:hAnsiTheme="minorHAnsi"/>
          <w:sz w:val="20"/>
          <w:szCs w:val="20"/>
        </w:rPr>
        <w:t xml:space="preserve"> instrument</w:t>
      </w:r>
      <w:r w:rsidR="00CC7A40" w:rsidRPr="001B5DC7">
        <w:rPr>
          <w:rFonts w:asciiTheme="minorHAnsi" w:hAnsiTheme="minorHAnsi"/>
          <w:sz w:val="20"/>
          <w:szCs w:val="20"/>
        </w:rPr>
        <w:t xml:space="preserve">s under investigation. First, we will conduct an analysis to see if there is a correlation between students’ </w:t>
      </w:r>
      <w:proofErr w:type="spellStart"/>
      <w:r w:rsidRPr="001B5DC7">
        <w:rPr>
          <w:rFonts w:asciiTheme="minorHAnsi" w:hAnsiTheme="minorHAnsi"/>
          <w:sz w:val="20"/>
          <w:szCs w:val="20"/>
        </w:rPr>
        <w:t>edTPA</w:t>
      </w:r>
      <w:proofErr w:type="spellEnd"/>
      <w:r w:rsidRPr="001B5DC7">
        <w:rPr>
          <w:rFonts w:asciiTheme="minorHAnsi" w:hAnsiTheme="minorHAnsi"/>
          <w:sz w:val="20"/>
          <w:szCs w:val="20"/>
        </w:rPr>
        <w:t xml:space="preserve"> scores</w:t>
      </w:r>
      <w:r w:rsidR="00CC7A40" w:rsidRPr="001B5DC7">
        <w:rPr>
          <w:rFonts w:asciiTheme="minorHAnsi" w:hAnsiTheme="minorHAnsi"/>
          <w:sz w:val="20"/>
          <w:szCs w:val="20"/>
        </w:rPr>
        <w:t xml:space="preserve"> and ratings on the student teaching instrument. The </w:t>
      </w:r>
      <w:proofErr w:type="spellStart"/>
      <w:r w:rsidR="00CC7A40" w:rsidRPr="001B5DC7">
        <w:rPr>
          <w:rFonts w:asciiTheme="minorHAnsi" w:hAnsiTheme="minorHAnsi"/>
          <w:sz w:val="20"/>
          <w:szCs w:val="20"/>
        </w:rPr>
        <w:t>edTPA</w:t>
      </w:r>
      <w:proofErr w:type="spellEnd"/>
      <w:r w:rsidR="00CC7A40" w:rsidRPr="001B5DC7">
        <w:rPr>
          <w:rFonts w:asciiTheme="minorHAnsi" w:hAnsiTheme="minorHAnsi"/>
          <w:sz w:val="20"/>
          <w:szCs w:val="20"/>
        </w:rPr>
        <w:t xml:space="preserve"> is a </w:t>
      </w:r>
      <w:r w:rsidR="00024F44" w:rsidRPr="001B5DC7">
        <w:rPr>
          <w:rFonts w:asciiTheme="minorHAnsi" w:hAnsiTheme="minorHAnsi"/>
          <w:sz w:val="20"/>
          <w:szCs w:val="20"/>
        </w:rPr>
        <w:t>subject area-specific performance-based assessment that is designed to measure the five dimensions of teaching (Planning, Instruction, Assessment</w:t>
      </w:r>
      <w:r w:rsidRPr="001B5DC7">
        <w:rPr>
          <w:rFonts w:asciiTheme="minorHAnsi" w:hAnsiTheme="minorHAnsi"/>
          <w:sz w:val="20"/>
          <w:szCs w:val="20"/>
        </w:rPr>
        <w:t>,</w:t>
      </w:r>
      <w:r w:rsidR="00024F44" w:rsidRPr="001B5DC7">
        <w:rPr>
          <w:rFonts w:asciiTheme="minorHAnsi" w:hAnsiTheme="minorHAnsi"/>
          <w:sz w:val="20"/>
          <w:szCs w:val="20"/>
        </w:rPr>
        <w:t xml:space="preserve"> analysis of teaching effectiveness, and academic language development</w:t>
      </w:r>
      <w:r w:rsidR="0062101E" w:rsidRPr="001B5DC7">
        <w:rPr>
          <w:rFonts w:asciiTheme="minorHAnsi" w:hAnsiTheme="minorHAnsi"/>
          <w:sz w:val="20"/>
          <w:szCs w:val="20"/>
        </w:rPr>
        <w:t>)</w:t>
      </w:r>
      <w:r w:rsidR="00024F44" w:rsidRPr="001B5DC7">
        <w:rPr>
          <w:rFonts w:asciiTheme="minorHAnsi" w:hAnsiTheme="minorHAnsi"/>
          <w:sz w:val="20"/>
          <w:szCs w:val="20"/>
        </w:rPr>
        <w:t xml:space="preserve">. </w:t>
      </w:r>
      <w:r w:rsidRPr="001B5DC7">
        <w:rPr>
          <w:rFonts w:asciiTheme="minorHAnsi" w:hAnsiTheme="minorHAnsi"/>
          <w:sz w:val="20"/>
          <w:szCs w:val="20"/>
        </w:rPr>
        <w:t xml:space="preserve"> </w:t>
      </w:r>
      <w:r w:rsidR="00CB7385" w:rsidRPr="001B5DC7">
        <w:rPr>
          <w:rFonts w:asciiTheme="minorHAnsi" w:hAnsiTheme="minorHAnsi"/>
          <w:sz w:val="20"/>
          <w:szCs w:val="20"/>
        </w:rPr>
        <w:t xml:space="preserve">The </w:t>
      </w:r>
      <w:proofErr w:type="spellStart"/>
      <w:r w:rsidR="00CB7385" w:rsidRPr="001B5DC7">
        <w:rPr>
          <w:rFonts w:asciiTheme="minorHAnsi" w:hAnsiTheme="minorHAnsi"/>
          <w:sz w:val="20"/>
          <w:szCs w:val="20"/>
        </w:rPr>
        <w:t>edTPA</w:t>
      </w:r>
      <w:proofErr w:type="spellEnd"/>
      <w:r w:rsidR="00CB7385" w:rsidRPr="001B5DC7">
        <w:rPr>
          <w:rFonts w:asciiTheme="minorHAnsi" w:hAnsiTheme="minorHAnsi"/>
          <w:sz w:val="20"/>
          <w:szCs w:val="20"/>
        </w:rPr>
        <w:t xml:space="preserve"> is currently required at OSU as a program completion requirement. Next, we will conduct an analysis to see if there is a correlation between ratings on the student teaching evaluation </w:t>
      </w:r>
      <w:r w:rsidR="00735394" w:rsidRPr="001B5DC7">
        <w:rPr>
          <w:rFonts w:asciiTheme="minorHAnsi" w:hAnsiTheme="minorHAnsi"/>
          <w:sz w:val="20"/>
          <w:szCs w:val="20"/>
        </w:rPr>
        <w:t xml:space="preserve">instruments </w:t>
      </w:r>
      <w:r w:rsidR="00CB7385" w:rsidRPr="001B5DC7">
        <w:rPr>
          <w:rFonts w:asciiTheme="minorHAnsi" w:hAnsiTheme="minorHAnsi"/>
          <w:sz w:val="20"/>
          <w:szCs w:val="20"/>
        </w:rPr>
        <w:t xml:space="preserve">and students’ licensure test scores. </w:t>
      </w:r>
      <w:r w:rsidR="00C64266" w:rsidRPr="001B5DC7">
        <w:rPr>
          <w:rFonts w:asciiTheme="minorHAnsi" w:hAnsiTheme="minorHAnsi"/>
          <w:sz w:val="20"/>
          <w:szCs w:val="20"/>
        </w:rPr>
        <w:t xml:space="preserve">The analysis will consider if a test is taken multiple times before passing. </w:t>
      </w:r>
      <w:r w:rsidR="00CB7385" w:rsidRPr="001B5DC7">
        <w:rPr>
          <w:rFonts w:asciiTheme="minorHAnsi" w:hAnsiTheme="minorHAnsi"/>
          <w:sz w:val="20"/>
          <w:szCs w:val="20"/>
        </w:rPr>
        <w:t xml:space="preserve">The Ohio Assessment of Educators (OAE) tests are required to obtain a license from the </w:t>
      </w:r>
      <w:r w:rsidR="00C64266" w:rsidRPr="001B5DC7">
        <w:rPr>
          <w:rFonts w:asciiTheme="minorHAnsi" w:hAnsiTheme="minorHAnsi"/>
          <w:sz w:val="20"/>
          <w:szCs w:val="20"/>
        </w:rPr>
        <w:t>Ohio Department of Education</w:t>
      </w:r>
      <w:r w:rsidR="00CB7385" w:rsidRPr="001B5DC7">
        <w:rPr>
          <w:rFonts w:asciiTheme="minorHAnsi" w:hAnsiTheme="minorHAnsi"/>
          <w:sz w:val="20"/>
          <w:szCs w:val="20"/>
        </w:rPr>
        <w:t xml:space="preserve">. The OAE tests include content specific tests and pedagogy tests. In general, all </w:t>
      </w:r>
      <w:r w:rsidR="00C64266" w:rsidRPr="001B5DC7">
        <w:rPr>
          <w:rFonts w:asciiTheme="minorHAnsi" w:hAnsiTheme="minorHAnsi"/>
          <w:sz w:val="20"/>
          <w:szCs w:val="20"/>
        </w:rPr>
        <w:t xml:space="preserve">initial </w:t>
      </w:r>
      <w:r w:rsidR="00CB7385" w:rsidRPr="001B5DC7">
        <w:rPr>
          <w:rFonts w:asciiTheme="minorHAnsi" w:hAnsiTheme="minorHAnsi"/>
          <w:sz w:val="20"/>
          <w:szCs w:val="20"/>
        </w:rPr>
        <w:t>teacher licensure candidates must take</w:t>
      </w:r>
      <w:r w:rsidR="00C64266" w:rsidRPr="001B5DC7">
        <w:rPr>
          <w:rFonts w:asciiTheme="minorHAnsi" w:hAnsiTheme="minorHAnsi"/>
          <w:sz w:val="20"/>
          <w:szCs w:val="20"/>
        </w:rPr>
        <w:t xml:space="preserve"> one OAE pedagogy test and one OAE content test.</w:t>
      </w:r>
      <w:r w:rsidR="00CB7385" w:rsidRPr="001B5DC7">
        <w:rPr>
          <w:rFonts w:asciiTheme="minorHAnsi" w:hAnsiTheme="minorHAnsi"/>
          <w:sz w:val="20"/>
          <w:szCs w:val="20"/>
        </w:rPr>
        <w:t xml:space="preserve"> Finally, we will </w:t>
      </w:r>
      <w:r w:rsidR="0062101E" w:rsidRPr="001B5DC7">
        <w:rPr>
          <w:rFonts w:asciiTheme="minorHAnsi" w:hAnsiTheme="minorHAnsi"/>
          <w:sz w:val="20"/>
          <w:szCs w:val="20"/>
        </w:rPr>
        <w:t xml:space="preserve">conduct </w:t>
      </w:r>
      <w:r w:rsidR="00CB7385" w:rsidRPr="001B5DC7">
        <w:rPr>
          <w:rFonts w:asciiTheme="minorHAnsi" w:hAnsiTheme="minorHAnsi"/>
          <w:sz w:val="20"/>
          <w:szCs w:val="20"/>
        </w:rPr>
        <w:t xml:space="preserve">an analysis to determine if there is a correlation between </w:t>
      </w:r>
      <w:r w:rsidRPr="001B5DC7">
        <w:rPr>
          <w:rFonts w:asciiTheme="minorHAnsi" w:hAnsiTheme="minorHAnsi"/>
          <w:sz w:val="20"/>
          <w:szCs w:val="20"/>
        </w:rPr>
        <w:t>students’ final grade for student teaching</w:t>
      </w:r>
      <w:r w:rsidR="00CB7385" w:rsidRPr="001B5DC7">
        <w:rPr>
          <w:rFonts w:asciiTheme="minorHAnsi" w:hAnsiTheme="minorHAnsi"/>
          <w:sz w:val="20"/>
          <w:szCs w:val="20"/>
        </w:rPr>
        <w:t xml:space="preserve"> and ratings on the student teaching evaluation </w:t>
      </w:r>
      <w:r w:rsidR="00735394" w:rsidRPr="001B5DC7">
        <w:rPr>
          <w:rFonts w:asciiTheme="minorHAnsi" w:hAnsiTheme="minorHAnsi"/>
          <w:sz w:val="20"/>
          <w:szCs w:val="20"/>
        </w:rPr>
        <w:t>instruments</w:t>
      </w:r>
      <w:r w:rsidR="00A67D15" w:rsidRPr="001B5DC7">
        <w:rPr>
          <w:rFonts w:asciiTheme="minorHAnsi" w:hAnsiTheme="minorHAnsi"/>
          <w:sz w:val="20"/>
          <w:szCs w:val="20"/>
        </w:rPr>
        <w:t>. The Office of Educator Preparation collects and analyzes all of this data</w:t>
      </w:r>
      <w:r w:rsidR="00657882">
        <w:rPr>
          <w:rFonts w:asciiTheme="minorHAnsi" w:hAnsiTheme="minorHAnsi"/>
          <w:sz w:val="20"/>
          <w:szCs w:val="20"/>
        </w:rPr>
        <w:t xml:space="preserve"> for OSU students</w:t>
      </w:r>
      <w:r w:rsidR="00A67D15" w:rsidRPr="001B5DC7">
        <w:rPr>
          <w:rFonts w:asciiTheme="minorHAnsi" w:hAnsiTheme="minorHAnsi"/>
          <w:sz w:val="20"/>
          <w:szCs w:val="20"/>
        </w:rPr>
        <w:t xml:space="preserve"> currently as part of accreditation requirements; therefore, we are not asking permission to access data that we do not already currently have acces</w:t>
      </w:r>
      <w:r w:rsidR="00C64266" w:rsidRPr="001B5DC7">
        <w:rPr>
          <w:rFonts w:asciiTheme="minorHAnsi" w:hAnsiTheme="minorHAnsi"/>
          <w:sz w:val="20"/>
          <w:szCs w:val="20"/>
        </w:rPr>
        <w:t>s</w:t>
      </w:r>
      <w:r w:rsidR="00657882">
        <w:rPr>
          <w:rFonts w:asciiTheme="minorHAnsi" w:hAnsiTheme="minorHAnsi"/>
          <w:sz w:val="20"/>
          <w:szCs w:val="20"/>
        </w:rPr>
        <w:t xml:space="preserve"> at OSU</w:t>
      </w:r>
      <w:r w:rsidR="00A67D15" w:rsidRPr="001B5DC7">
        <w:rPr>
          <w:rFonts w:asciiTheme="minorHAnsi" w:hAnsiTheme="minorHAnsi"/>
          <w:sz w:val="20"/>
          <w:szCs w:val="20"/>
        </w:rPr>
        <w:t>.</w:t>
      </w:r>
      <w:r w:rsidR="00657882">
        <w:rPr>
          <w:rFonts w:asciiTheme="minorHAnsi" w:hAnsiTheme="minorHAnsi"/>
          <w:sz w:val="20"/>
          <w:szCs w:val="20"/>
        </w:rPr>
        <w:t xml:space="preserve"> The other IHE’s have access to similar data for their own students; therefore, they are not asking to access anything new. </w:t>
      </w:r>
      <w:r w:rsidR="00A67D15" w:rsidRPr="001B5DC7">
        <w:rPr>
          <w:rFonts w:asciiTheme="minorHAnsi" w:hAnsiTheme="minorHAnsi"/>
          <w:sz w:val="20"/>
          <w:szCs w:val="20"/>
        </w:rPr>
        <w:t xml:space="preserve"> </w:t>
      </w:r>
    </w:p>
    <w:p w14:paraId="144B121F" w14:textId="77777777" w:rsidR="000B768C" w:rsidRPr="001B5DC7" w:rsidRDefault="000B768C" w:rsidP="000B768C">
      <w:pPr>
        <w:ind w:left="360" w:right="-360"/>
        <w:rPr>
          <w:rFonts w:asciiTheme="minorHAnsi" w:hAnsiTheme="minorHAnsi"/>
          <w:sz w:val="20"/>
          <w:szCs w:val="20"/>
        </w:rPr>
      </w:pPr>
    </w:p>
    <w:p w14:paraId="1F02E37D" w14:textId="77777777" w:rsidR="000B768C" w:rsidRPr="001B5DC7" w:rsidRDefault="000B768C" w:rsidP="000B768C">
      <w:pPr>
        <w:ind w:left="360" w:right="-360"/>
        <w:rPr>
          <w:rFonts w:asciiTheme="minorHAnsi" w:hAnsiTheme="minorHAnsi"/>
          <w:b/>
          <w:sz w:val="20"/>
          <w:szCs w:val="20"/>
        </w:rPr>
      </w:pPr>
      <w:r w:rsidRPr="001B5DC7">
        <w:rPr>
          <w:rFonts w:asciiTheme="minorHAnsi" w:hAnsiTheme="minorHAnsi"/>
          <w:b/>
          <w:sz w:val="20"/>
          <w:szCs w:val="20"/>
        </w:rPr>
        <w:t>Reliability Studies:</w:t>
      </w:r>
    </w:p>
    <w:p w14:paraId="4CDDFD0A" w14:textId="77777777" w:rsidR="000B768C" w:rsidRPr="001B5DC7" w:rsidRDefault="000B768C" w:rsidP="000B768C">
      <w:pPr>
        <w:ind w:left="360" w:right="-360"/>
        <w:rPr>
          <w:rFonts w:asciiTheme="minorHAnsi" w:hAnsiTheme="minorHAnsi"/>
          <w:b/>
          <w:sz w:val="20"/>
          <w:szCs w:val="20"/>
        </w:rPr>
      </w:pPr>
    </w:p>
    <w:p w14:paraId="7B413F2C" w14:textId="5CDED747" w:rsidR="00A67D15" w:rsidRPr="001B5DC7" w:rsidRDefault="000B768C" w:rsidP="000B768C">
      <w:pPr>
        <w:ind w:left="360" w:right="-360"/>
        <w:rPr>
          <w:rFonts w:asciiTheme="minorHAnsi" w:hAnsiTheme="minorHAnsi"/>
          <w:sz w:val="20"/>
          <w:szCs w:val="20"/>
        </w:rPr>
      </w:pPr>
      <w:r w:rsidRPr="001B5DC7">
        <w:rPr>
          <w:rFonts w:asciiTheme="minorHAnsi" w:hAnsiTheme="minorHAnsi"/>
          <w:sz w:val="20"/>
          <w:szCs w:val="20"/>
        </w:rPr>
        <w:t xml:space="preserve">For </w:t>
      </w:r>
      <w:r w:rsidRPr="001B5DC7">
        <w:rPr>
          <w:rFonts w:asciiTheme="minorHAnsi" w:hAnsiTheme="minorHAnsi"/>
          <w:b/>
          <w:sz w:val="20"/>
          <w:szCs w:val="20"/>
        </w:rPr>
        <w:t>test-retest reliability</w:t>
      </w:r>
      <w:r w:rsidRPr="001B5DC7">
        <w:rPr>
          <w:rFonts w:asciiTheme="minorHAnsi" w:hAnsiTheme="minorHAnsi"/>
          <w:sz w:val="20"/>
          <w:szCs w:val="20"/>
        </w:rPr>
        <w:t>, a statistical analysis will be conducted to examine if a correlation exists between the ratings students receive on the evaluation</w:t>
      </w:r>
      <w:r w:rsidR="00D62664" w:rsidRPr="001B5DC7">
        <w:rPr>
          <w:rFonts w:asciiTheme="minorHAnsi" w:hAnsiTheme="minorHAnsi"/>
          <w:sz w:val="20"/>
          <w:szCs w:val="20"/>
        </w:rPr>
        <w:t xml:space="preserve"> instrument</w:t>
      </w:r>
      <w:r w:rsidRPr="001B5DC7">
        <w:rPr>
          <w:rFonts w:asciiTheme="minorHAnsi" w:hAnsiTheme="minorHAnsi"/>
          <w:sz w:val="20"/>
          <w:szCs w:val="20"/>
        </w:rPr>
        <w:t xml:space="preserve">s at midterm (test) and the final (retest).  </w:t>
      </w:r>
      <w:r w:rsidR="00A67D15" w:rsidRPr="001B5DC7">
        <w:rPr>
          <w:rFonts w:asciiTheme="minorHAnsi" w:hAnsiTheme="minorHAnsi"/>
          <w:sz w:val="20"/>
          <w:szCs w:val="20"/>
        </w:rPr>
        <w:t>Each student teacher receives ratings on these forms as part of a midterm and final exam requirements for student teaching.</w:t>
      </w:r>
    </w:p>
    <w:p w14:paraId="11217353" w14:textId="77777777" w:rsidR="00A67D15" w:rsidRPr="001B5DC7" w:rsidRDefault="00A67D15" w:rsidP="000B768C">
      <w:pPr>
        <w:ind w:left="360" w:right="-360"/>
        <w:rPr>
          <w:rFonts w:asciiTheme="minorHAnsi" w:hAnsiTheme="minorHAnsi"/>
          <w:sz w:val="20"/>
          <w:szCs w:val="20"/>
        </w:rPr>
      </w:pPr>
    </w:p>
    <w:p w14:paraId="4B51DFD7" w14:textId="6BF5A84B" w:rsidR="000B768C" w:rsidRPr="001B5DC7" w:rsidRDefault="000B768C" w:rsidP="000B768C">
      <w:pPr>
        <w:ind w:left="360" w:right="-360"/>
        <w:rPr>
          <w:rFonts w:asciiTheme="minorHAnsi" w:hAnsiTheme="minorHAnsi"/>
          <w:sz w:val="20"/>
          <w:szCs w:val="20"/>
        </w:rPr>
      </w:pPr>
      <w:r w:rsidRPr="001B5DC7">
        <w:rPr>
          <w:rFonts w:asciiTheme="minorHAnsi" w:hAnsiTheme="minorHAnsi"/>
          <w:sz w:val="20"/>
          <w:szCs w:val="20"/>
        </w:rPr>
        <w:t xml:space="preserve">For the </w:t>
      </w:r>
      <w:r w:rsidRPr="001B5DC7">
        <w:rPr>
          <w:rFonts w:asciiTheme="minorHAnsi" w:hAnsiTheme="minorHAnsi"/>
          <w:b/>
          <w:sz w:val="20"/>
          <w:szCs w:val="20"/>
        </w:rPr>
        <w:t>internal consistency reliability</w:t>
      </w:r>
      <w:r w:rsidRPr="001B5DC7">
        <w:rPr>
          <w:rFonts w:asciiTheme="minorHAnsi" w:hAnsiTheme="minorHAnsi"/>
          <w:sz w:val="20"/>
          <w:szCs w:val="20"/>
        </w:rPr>
        <w:t>, an analysis will be conducted to determine if the observer consistently rates items within the evaluation</w:t>
      </w:r>
      <w:r w:rsidR="00735394" w:rsidRPr="001B5DC7">
        <w:rPr>
          <w:rFonts w:asciiTheme="minorHAnsi" w:hAnsiTheme="minorHAnsi"/>
          <w:sz w:val="20"/>
          <w:szCs w:val="20"/>
        </w:rPr>
        <w:t xml:space="preserve"> instruments</w:t>
      </w:r>
      <w:r w:rsidRPr="001B5DC7">
        <w:rPr>
          <w:rFonts w:asciiTheme="minorHAnsi" w:hAnsiTheme="minorHAnsi"/>
          <w:sz w:val="20"/>
          <w:szCs w:val="20"/>
        </w:rPr>
        <w:t xml:space="preserve">. A correlational design using Cronbach’s Alpha test </w:t>
      </w:r>
      <w:r w:rsidR="0062101E" w:rsidRPr="001B5DC7">
        <w:rPr>
          <w:rFonts w:asciiTheme="minorHAnsi" w:hAnsiTheme="minorHAnsi"/>
          <w:sz w:val="20"/>
          <w:szCs w:val="20"/>
        </w:rPr>
        <w:t>and/</w:t>
      </w:r>
      <w:r w:rsidRPr="001B5DC7">
        <w:rPr>
          <w:rFonts w:asciiTheme="minorHAnsi" w:hAnsiTheme="minorHAnsi"/>
          <w:sz w:val="20"/>
          <w:szCs w:val="20"/>
        </w:rPr>
        <w:t xml:space="preserve">or </w:t>
      </w:r>
      <w:proofErr w:type="spellStart"/>
      <w:r w:rsidRPr="001B5DC7">
        <w:rPr>
          <w:rFonts w:asciiTheme="minorHAnsi" w:hAnsiTheme="minorHAnsi"/>
          <w:sz w:val="20"/>
          <w:szCs w:val="20"/>
        </w:rPr>
        <w:t>Kuder</w:t>
      </w:r>
      <w:proofErr w:type="spellEnd"/>
      <w:r w:rsidRPr="001B5DC7">
        <w:rPr>
          <w:rFonts w:asciiTheme="minorHAnsi" w:hAnsiTheme="minorHAnsi"/>
          <w:sz w:val="20"/>
          <w:szCs w:val="20"/>
        </w:rPr>
        <w:t xml:space="preserve">-Richardson test will be used to measure internal consistency. </w:t>
      </w:r>
    </w:p>
    <w:p w14:paraId="1F0506C9" w14:textId="77777777" w:rsidR="000B768C" w:rsidRPr="001B5DC7" w:rsidRDefault="000B768C" w:rsidP="000B768C">
      <w:pPr>
        <w:ind w:left="360" w:right="-360"/>
        <w:rPr>
          <w:rFonts w:asciiTheme="minorHAnsi" w:hAnsiTheme="minorHAnsi"/>
          <w:sz w:val="20"/>
          <w:szCs w:val="20"/>
        </w:rPr>
      </w:pPr>
    </w:p>
    <w:p w14:paraId="1EE21208" w14:textId="2681FD52" w:rsidR="000B768C" w:rsidRPr="001B5DC7" w:rsidRDefault="000B768C" w:rsidP="000B768C">
      <w:pPr>
        <w:ind w:left="360" w:right="-360"/>
        <w:rPr>
          <w:rFonts w:asciiTheme="minorHAnsi" w:hAnsiTheme="minorHAnsi"/>
          <w:sz w:val="20"/>
          <w:szCs w:val="20"/>
        </w:rPr>
      </w:pPr>
      <w:r w:rsidRPr="001B5DC7">
        <w:rPr>
          <w:rFonts w:asciiTheme="minorHAnsi" w:hAnsiTheme="minorHAnsi"/>
          <w:sz w:val="20"/>
          <w:szCs w:val="20"/>
        </w:rPr>
        <w:t xml:space="preserve">Finally, for the </w:t>
      </w:r>
      <w:r w:rsidRPr="001B5DC7">
        <w:rPr>
          <w:rFonts w:asciiTheme="minorHAnsi" w:hAnsiTheme="minorHAnsi"/>
          <w:b/>
          <w:sz w:val="20"/>
          <w:szCs w:val="20"/>
        </w:rPr>
        <w:t>inter-rater reliability</w:t>
      </w:r>
      <w:r w:rsidRPr="001B5DC7">
        <w:rPr>
          <w:rFonts w:asciiTheme="minorHAnsi" w:hAnsiTheme="minorHAnsi"/>
          <w:sz w:val="20"/>
          <w:szCs w:val="20"/>
        </w:rPr>
        <w:t xml:space="preserve"> portion of the study, </w:t>
      </w:r>
      <w:r w:rsidR="003A57AB" w:rsidRPr="001B5DC7">
        <w:rPr>
          <w:rFonts w:asciiTheme="minorHAnsi" w:hAnsiTheme="minorHAnsi"/>
          <w:sz w:val="20"/>
          <w:szCs w:val="20"/>
        </w:rPr>
        <w:t>we will train all supervisors to use the student teaching evaluation</w:t>
      </w:r>
      <w:r w:rsidR="00D62664" w:rsidRPr="001B5DC7">
        <w:rPr>
          <w:rFonts w:asciiTheme="minorHAnsi" w:hAnsiTheme="minorHAnsi"/>
          <w:sz w:val="20"/>
          <w:szCs w:val="20"/>
        </w:rPr>
        <w:t xml:space="preserve"> instrument</w:t>
      </w:r>
      <w:r w:rsidR="003A57AB" w:rsidRPr="001B5DC7">
        <w:rPr>
          <w:rFonts w:asciiTheme="minorHAnsi" w:hAnsiTheme="minorHAnsi"/>
          <w:sz w:val="20"/>
          <w:szCs w:val="20"/>
        </w:rPr>
        <w:t xml:space="preserve">s. Next, we will recruit supervisors who are willing to participate in the inter-rater reliability portion of the study. From the potential participants, we will select a representative sample of 10% of the total. </w:t>
      </w:r>
      <w:r w:rsidR="00BE4AB0" w:rsidRPr="001B5DC7">
        <w:rPr>
          <w:rFonts w:asciiTheme="minorHAnsi" w:hAnsiTheme="minorHAnsi"/>
          <w:sz w:val="20"/>
          <w:szCs w:val="20"/>
        </w:rPr>
        <w:t xml:space="preserve">Within this representative sample, we will ensure that various preparation programs are represented. </w:t>
      </w:r>
      <w:r w:rsidR="003A57AB" w:rsidRPr="001B5DC7">
        <w:rPr>
          <w:rFonts w:asciiTheme="minorHAnsi" w:hAnsiTheme="minorHAnsi"/>
          <w:sz w:val="20"/>
          <w:szCs w:val="20"/>
        </w:rPr>
        <w:t>These supervisors will complete student teaching evaluation</w:t>
      </w:r>
      <w:r w:rsidR="00D62664" w:rsidRPr="001B5DC7">
        <w:rPr>
          <w:rFonts w:asciiTheme="minorHAnsi" w:hAnsiTheme="minorHAnsi"/>
          <w:sz w:val="20"/>
          <w:szCs w:val="20"/>
        </w:rPr>
        <w:t xml:space="preserve"> instrument</w:t>
      </w:r>
      <w:r w:rsidR="003A57AB" w:rsidRPr="001B5DC7">
        <w:rPr>
          <w:rFonts w:asciiTheme="minorHAnsi" w:hAnsiTheme="minorHAnsi"/>
          <w:sz w:val="20"/>
          <w:szCs w:val="20"/>
        </w:rPr>
        <w:t>s for inter-rater reliability purposes. Specifi</w:t>
      </w:r>
      <w:r w:rsidR="00BE4AB0" w:rsidRPr="001B5DC7">
        <w:rPr>
          <w:rFonts w:asciiTheme="minorHAnsi" w:hAnsiTheme="minorHAnsi"/>
          <w:sz w:val="20"/>
          <w:szCs w:val="20"/>
        </w:rPr>
        <w:t xml:space="preserve">cally, the supervisors will agree to </w:t>
      </w:r>
      <w:r w:rsidR="00B2007C" w:rsidRPr="001B5DC7">
        <w:rPr>
          <w:rFonts w:asciiTheme="minorHAnsi" w:hAnsiTheme="minorHAnsi"/>
          <w:sz w:val="20"/>
          <w:szCs w:val="20"/>
        </w:rPr>
        <w:t>observe</w:t>
      </w:r>
      <w:r w:rsidR="00BE4AB0" w:rsidRPr="001B5DC7">
        <w:rPr>
          <w:rFonts w:asciiTheme="minorHAnsi" w:hAnsiTheme="minorHAnsi"/>
          <w:sz w:val="20"/>
          <w:szCs w:val="20"/>
        </w:rPr>
        <w:t xml:space="preserve"> an additional student teacher </w:t>
      </w:r>
      <w:r w:rsidR="0038003A" w:rsidRPr="001B5DC7">
        <w:rPr>
          <w:rFonts w:asciiTheme="minorHAnsi" w:hAnsiTheme="minorHAnsi"/>
          <w:sz w:val="20"/>
          <w:szCs w:val="20"/>
        </w:rPr>
        <w:t>which includes observing</w:t>
      </w:r>
      <w:r w:rsidR="00BE4AB0" w:rsidRPr="001B5DC7">
        <w:rPr>
          <w:rFonts w:asciiTheme="minorHAnsi" w:hAnsiTheme="minorHAnsi"/>
          <w:sz w:val="20"/>
          <w:szCs w:val="20"/>
        </w:rPr>
        <w:t xml:space="preserve"> the student teacher</w:t>
      </w:r>
      <w:r w:rsidR="003A57AB" w:rsidRPr="001B5DC7">
        <w:rPr>
          <w:rFonts w:asciiTheme="minorHAnsi" w:hAnsiTheme="minorHAnsi"/>
          <w:sz w:val="20"/>
          <w:szCs w:val="20"/>
        </w:rPr>
        <w:t xml:space="preserve"> </w:t>
      </w:r>
      <w:r w:rsidR="00BE4AB0" w:rsidRPr="001B5DC7">
        <w:rPr>
          <w:rFonts w:asciiTheme="minorHAnsi" w:hAnsiTheme="minorHAnsi"/>
          <w:sz w:val="20"/>
          <w:szCs w:val="20"/>
        </w:rPr>
        <w:t xml:space="preserve">a total of 3 times and </w:t>
      </w:r>
      <w:r w:rsidR="0038003A" w:rsidRPr="001B5DC7">
        <w:rPr>
          <w:rFonts w:asciiTheme="minorHAnsi" w:hAnsiTheme="minorHAnsi"/>
          <w:sz w:val="20"/>
          <w:szCs w:val="20"/>
        </w:rPr>
        <w:t>complet</w:t>
      </w:r>
      <w:r w:rsidR="00B2007C" w:rsidRPr="001B5DC7">
        <w:rPr>
          <w:rFonts w:asciiTheme="minorHAnsi" w:hAnsiTheme="minorHAnsi"/>
          <w:sz w:val="20"/>
          <w:szCs w:val="20"/>
        </w:rPr>
        <w:t>e</w:t>
      </w:r>
      <w:r w:rsidR="00BE4AB0" w:rsidRPr="001B5DC7">
        <w:rPr>
          <w:rFonts w:asciiTheme="minorHAnsi" w:hAnsiTheme="minorHAnsi"/>
          <w:sz w:val="20"/>
          <w:szCs w:val="20"/>
        </w:rPr>
        <w:t xml:space="preserve"> the student teaching evaluation </w:t>
      </w:r>
      <w:r w:rsidR="00D62664" w:rsidRPr="001B5DC7">
        <w:rPr>
          <w:rFonts w:asciiTheme="minorHAnsi" w:hAnsiTheme="minorHAnsi"/>
          <w:sz w:val="20"/>
          <w:szCs w:val="20"/>
        </w:rPr>
        <w:t xml:space="preserve">instruments </w:t>
      </w:r>
      <w:r w:rsidR="00BE4AB0" w:rsidRPr="001B5DC7">
        <w:rPr>
          <w:rFonts w:asciiTheme="minorHAnsi" w:hAnsiTheme="minorHAnsi"/>
          <w:sz w:val="20"/>
          <w:szCs w:val="20"/>
        </w:rPr>
        <w:t xml:space="preserve">at the end of the semester. </w:t>
      </w:r>
      <w:r w:rsidR="00173143" w:rsidRPr="001B5DC7">
        <w:rPr>
          <w:rFonts w:asciiTheme="minorHAnsi" w:hAnsiTheme="minorHAnsi"/>
          <w:sz w:val="20"/>
          <w:szCs w:val="20"/>
        </w:rPr>
        <w:t>After the forms have been completed, we will calculate the percentage of exact agreement and adjacent agreement for each item on the evaluation</w:t>
      </w:r>
      <w:r w:rsidR="00D62664" w:rsidRPr="001B5DC7">
        <w:rPr>
          <w:rFonts w:asciiTheme="minorHAnsi" w:hAnsiTheme="minorHAnsi"/>
          <w:sz w:val="20"/>
          <w:szCs w:val="20"/>
        </w:rPr>
        <w:t xml:space="preserve"> instrument</w:t>
      </w:r>
      <w:r w:rsidR="00173143" w:rsidRPr="001B5DC7">
        <w:rPr>
          <w:rFonts w:asciiTheme="minorHAnsi" w:hAnsiTheme="minorHAnsi"/>
          <w:sz w:val="20"/>
          <w:szCs w:val="20"/>
        </w:rPr>
        <w:t xml:space="preserve">s. </w:t>
      </w:r>
    </w:p>
    <w:p w14:paraId="61DA7B8B" w14:textId="77777777" w:rsidR="003F4981" w:rsidRPr="001B5DC7" w:rsidRDefault="003F4981" w:rsidP="000B768C">
      <w:pPr>
        <w:ind w:left="360" w:right="-360"/>
        <w:rPr>
          <w:rFonts w:asciiTheme="minorHAnsi" w:hAnsiTheme="minorHAnsi"/>
          <w:sz w:val="20"/>
          <w:szCs w:val="20"/>
        </w:rPr>
      </w:pPr>
    </w:p>
    <w:p w14:paraId="15C27E02" w14:textId="63DFEF1B" w:rsidR="003F4981" w:rsidRPr="001B5DC7" w:rsidRDefault="003F4981" w:rsidP="000B768C">
      <w:pPr>
        <w:ind w:left="360" w:right="-360"/>
        <w:rPr>
          <w:rFonts w:asciiTheme="minorHAnsi" w:hAnsiTheme="minorHAnsi"/>
          <w:sz w:val="20"/>
          <w:szCs w:val="20"/>
        </w:rPr>
      </w:pPr>
      <w:r w:rsidRPr="001B5DC7">
        <w:rPr>
          <w:rFonts w:asciiTheme="minorHAnsi" w:hAnsiTheme="minorHAnsi"/>
          <w:sz w:val="20"/>
          <w:szCs w:val="20"/>
        </w:rPr>
        <w:t xml:space="preserve">All potential participants will be informed of the purposes of the study and must sign a consent form to be included within the study. The participants will include experts for content validity, supervisors for inter-rater reliability, and student teachers who will be observed by inter-rater reliability supervisors. </w:t>
      </w:r>
      <w:r w:rsidR="00B229BE" w:rsidRPr="001B5DC7">
        <w:rPr>
          <w:rFonts w:asciiTheme="minorHAnsi" w:hAnsiTheme="minorHAnsi"/>
          <w:sz w:val="20"/>
          <w:szCs w:val="20"/>
        </w:rPr>
        <w:t xml:space="preserve">Participants will be informed that they can leave the study at any time with no penalty or consequences. </w:t>
      </w:r>
      <w:r w:rsidR="00106037" w:rsidRPr="001B5DC7">
        <w:rPr>
          <w:rFonts w:asciiTheme="minorHAnsi" w:hAnsiTheme="minorHAnsi"/>
          <w:sz w:val="20"/>
          <w:szCs w:val="20"/>
        </w:rPr>
        <w:t xml:space="preserve">We will provide two copies of the informed consent form, one for our records and one for the participants to keep. </w:t>
      </w:r>
      <w:r w:rsidR="00E57E3A" w:rsidRPr="001B5DC7">
        <w:rPr>
          <w:rFonts w:asciiTheme="minorHAnsi" w:hAnsiTheme="minorHAnsi"/>
          <w:sz w:val="20"/>
          <w:szCs w:val="20"/>
        </w:rPr>
        <w:t xml:space="preserve">We do not need to obtain consent for the other analyses because we are requesting to do a secondary analysis of data we already collect, manage, and analyze. </w:t>
      </w:r>
      <w:r w:rsidR="00146BD8" w:rsidRPr="001B5DC7">
        <w:rPr>
          <w:rFonts w:asciiTheme="minorHAnsi" w:hAnsiTheme="minorHAnsi"/>
          <w:sz w:val="20"/>
          <w:szCs w:val="20"/>
        </w:rPr>
        <w:t xml:space="preserve">The duration of the study will vary per component. For content validity, the participants will dedicate a maximum of 8-12 hours over the duration of 2-3 months. The inter-rater reliability supervisors and student teachers who are being observed will be part of the study for the duration of one semester. The inter-rater reliability supervisor (secondary supervisor) will only need to commit an additional 8-12 hours of work for this study. The primary supervisors and the student teachers will not be required to commit any additional time for the purposes of this study because we are collecting reliability data; therefore, the expectations and time commit for them will remain the same. </w:t>
      </w:r>
      <w:r w:rsidR="00657882">
        <w:rPr>
          <w:rFonts w:asciiTheme="minorHAnsi" w:hAnsiTheme="minorHAnsi"/>
          <w:sz w:val="20"/>
          <w:szCs w:val="20"/>
        </w:rPr>
        <w:t xml:space="preserve">The secondary supervisor will receive a stipend to pay for gas and as compensation for the additional time spent. </w:t>
      </w:r>
    </w:p>
    <w:p w14:paraId="6168C587" w14:textId="77777777" w:rsidR="006927F8" w:rsidRPr="001B5DC7" w:rsidRDefault="006927F8" w:rsidP="00756A4B">
      <w:pPr>
        <w:ind w:right="-360"/>
        <w:rPr>
          <w:rFonts w:asciiTheme="minorHAnsi" w:hAnsiTheme="minorHAnsi"/>
          <w:sz w:val="20"/>
          <w:szCs w:val="20"/>
        </w:rPr>
      </w:pPr>
    </w:p>
    <w:p w14:paraId="0B6EABBB" w14:textId="048A977A" w:rsidR="006927F8" w:rsidRPr="001B5DC7" w:rsidRDefault="006927F8" w:rsidP="000B768C">
      <w:pPr>
        <w:ind w:left="360" w:right="-360"/>
        <w:rPr>
          <w:rFonts w:asciiTheme="minorHAnsi" w:hAnsiTheme="minorHAnsi"/>
          <w:sz w:val="20"/>
          <w:szCs w:val="20"/>
        </w:rPr>
      </w:pPr>
      <w:r w:rsidRPr="001B5DC7">
        <w:rPr>
          <w:rFonts w:asciiTheme="minorHAnsi" w:hAnsiTheme="minorHAnsi"/>
          <w:sz w:val="20"/>
          <w:szCs w:val="20"/>
        </w:rPr>
        <w:t xml:space="preserve">The </w:t>
      </w:r>
      <w:r w:rsidR="00B02199" w:rsidRPr="001B5DC7">
        <w:rPr>
          <w:rFonts w:asciiTheme="minorHAnsi" w:hAnsiTheme="minorHAnsi"/>
          <w:sz w:val="20"/>
          <w:szCs w:val="20"/>
        </w:rPr>
        <w:t xml:space="preserve">Ohio State </w:t>
      </w:r>
      <w:r w:rsidRPr="001B5DC7">
        <w:rPr>
          <w:rFonts w:asciiTheme="minorHAnsi" w:hAnsiTheme="minorHAnsi"/>
          <w:sz w:val="20"/>
          <w:szCs w:val="20"/>
        </w:rPr>
        <w:t>Office of Educator Preparation is currently responsible for collecting, managing, and analyzing results on the student teaching evaluation</w:t>
      </w:r>
      <w:r w:rsidR="00735394" w:rsidRPr="001B5DC7">
        <w:rPr>
          <w:rFonts w:asciiTheme="minorHAnsi" w:hAnsiTheme="minorHAnsi"/>
          <w:sz w:val="20"/>
          <w:szCs w:val="20"/>
        </w:rPr>
        <w:t xml:space="preserve"> instrument</w:t>
      </w:r>
      <w:r w:rsidRPr="001B5DC7">
        <w:rPr>
          <w:rFonts w:asciiTheme="minorHAnsi" w:hAnsiTheme="minorHAnsi"/>
          <w:sz w:val="20"/>
          <w:szCs w:val="20"/>
        </w:rPr>
        <w:t xml:space="preserve">s, </w:t>
      </w:r>
      <w:proofErr w:type="spellStart"/>
      <w:r w:rsidRPr="001B5DC7">
        <w:rPr>
          <w:rFonts w:asciiTheme="minorHAnsi" w:hAnsiTheme="minorHAnsi"/>
          <w:sz w:val="20"/>
          <w:szCs w:val="20"/>
        </w:rPr>
        <w:t>edTPA</w:t>
      </w:r>
      <w:proofErr w:type="spellEnd"/>
      <w:r w:rsidRPr="001B5DC7">
        <w:rPr>
          <w:rFonts w:asciiTheme="minorHAnsi" w:hAnsiTheme="minorHAnsi"/>
          <w:sz w:val="20"/>
          <w:szCs w:val="20"/>
        </w:rPr>
        <w:t>, licensure tests, and student teaching grades</w:t>
      </w:r>
      <w:r w:rsidR="00B02199" w:rsidRPr="001B5DC7">
        <w:rPr>
          <w:rFonts w:asciiTheme="minorHAnsi" w:hAnsiTheme="minorHAnsi"/>
          <w:sz w:val="20"/>
          <w:szCs w:val="20"/>
        </w:rPr>
        <w:t xml:space="preserve"> for OSU students</w:t>
      </w:r>
      <w:r w:rsidRPr="001B5DC7">
        <w:rPr>
          <w:rFonts w:asciiTheme="minorHAnsi" w:hAnsiTheme="minorHAnsi"/>
          <w:sz w:val="20"/>
          <w:szCs w:val="20"/>
        </w:rPr>
        <w:t xml:space="preserve">. </w:t>
      </w:r>
      <w:r w:rsidR="00B02199" w:rsidRPr="001B5DC7">
        <w:rPr>
          <w:rFonts w:asciiTheme="minorHAnsi" w:hAnsiTheme="minorHAnsi"/>
          <w:sz w:val="20"/>
          <w:szCs w:val="20"/>
        </w:rPr>
        <w:t xml:space="preserve">All IHEs in Ohio </w:t>
      </w:r>
      <w:r w:rsidRPr="001B5DC7">
        <w:rPr>
          <w:rFonts w:asciiTheme="minorHAnsi" w:hAnsiTheme="minorHAnsi"/>
          <w:sz w:val="20"/>
          <w:szCs w:val="20"/>
        </w:rPr>
        <w:t xml:space="preserve">routinely </w:t>
      </w:r>
      <w:r w:rsidR="00B02199" w:rsidRPr="001B5DC7">
        <w:rPr>
          <w:rFonts w:asciiTheme="minorHAnsi" w:hAnsiTheme="minorHAnsi"/>
          <w:sz w:val="20"/>
          <w:szCs w:val="20"/>
        </w:rPr>
        <w:t xml:space="preserve">collect and </w:t>
      </w:r>
      <w:r w:rsidRPr="001B5DC7">
        <w:rPr>
          <w:rFonts w:asciiTheme="minorHAnsi" w:hAnsiTheme="minorHAnsi"/>
          <w:sz w:val="20"/>
          <w:szCs w:val="20"/>
        </w:rPr>
        <w:t xml:space="preserve">use these data for accreditation purposes and to determine if candidates are eligible to be recommended for a teaching license </w:t>
      </w:r>
      <w:r w:rsidR="0062101E" w:rsidRPr="001B5DC7">
        <w:rPr>
          <w:rFonts w:asciiTheme="minorHAnsi" w:hAnsiTheme="minorHAnsi"/>
          <w:sz w:val="20"/>
          <w:szCs w:val="20"/>
        </w:rPr>
        <w:t xml:space="preserve">by </w:t>
      </w:r>
      <w:r w:rsidRPr="001B5DC7">
        <w:rPr>
          <w:rFonts w:asciiTheme="minorHAnsi" w:hAnsiTheme="minorHAnsi"/>
          <w:sz w:val="20"/>
          <w:szCs w:val="20"/>
        </w:rPr>
        <w:t xml:space="preserve">the state. </w:t>
      </w:r>
      <w:r w:rsidR="00077C33" w:rsidRPr="001B5DC7">
        <w:rPr>
          <w:rFonts w:asciiTheme="minorHAnsi" w:hAnsiTheme="minorHAnsi"/>
          <w:sz w:val="20"/>
          <w:szCs w:val="20"/>
        </w:rPr>
        <w:t xml:space="preserve">In order to minimize risks and maintain confidentiality, </w:t>
      </w:r>
      <w:r w:rsidR="0062101E" w:rsidRPr="001B5DC7">
        <w:rPr>
          <w:rFonts w:asciiTheme="minorHAnsi" w:hAnsiTheme="minorHAnsi"/>
          <w:sz w:val="20"/>
          <w:szCs w:val="20"/>
        </w:rPr>
        <w:t xml:space="preserve">after the database has been compiled, </w:t>
      </w:r>
      <w:r w:rsidR="00C0393F" w:rsidRPr="001B5DC7">
        <w:rPr>
          <w:rFonts w:asciiTheme="minorHAnsi" w:hAnsiTheme="minorHAnsi"/>
          <w:sz w:val="20"/>
          <w:szCs w:val="20"/>
        </w:rPr>
        <w:t xml:space="preserve">we will remove all student identifiers (such as names, OSU ID numbers, Tk20 identifiers, program, etc.) and assign a new identifier code for the analyses. </w:t>
      </w:r>
      <w:r w:rsidR="006D767D" w:rsidRPr="001B5DC7">
        <w:rPr>
          <w:rFonts w:asciiTheme="minorHAnsi" w:hAnsiTheme="minorHAnsi"/>
          <w:sz w:val="20"/>
          <w:szCs w:val="20"/>
        </w:rPr>
        <w:t>Upon completion of data analyses, data will be reported in aggregate form.</w:t>
      </w:r>
      <w:r w:rsidR="00B02199" w:rsidRPr="001B5DC7">
        <w:rPr>
          <w:rFonts w:asciiTheme="minorHAnsi" w:hAnsiTheme="minorHAnsi"/>
          <w:sz w:val="20"/>
          <w:szCs w:val="20"/>
        </w:rPr>
        <w:t xml:space="preserve"> For students from other IHEs, data will arrive on our campus for analysis without student identifiers. Codes will be developed just for this project and will include an identification of the institution and a code for each student. The code identifiers will be housed at the originating institution and not provided to Ohio State. All reported data will be aggregated.</w:t>
      </w:r>
    </w:p>
    <w:p w14:paraId="2FBED6B0" w14:textId="77777777" w:rsidR="006D767D" w:rsidRPr="001B5DC7" w:rsidRDefault="006D767D" w:rsidP="000B768C">
      <w:pPr>
        <w:ind w:left="360" w:right="-360"/>
        <w:rPr>
          <w:rFonts w:asciiTheme="minorHAnsi" w:hAnsiTheme="minorHAnsi"/>
          <w:sz w:val="20"/>
          <w:szCs w:val="20"/>
        </w:rPr>
      </w:pPr>
    </w:p>
    <w:p w14:paraId="473EE8CA" w14:textId="6B54D82A" w:rsidR="00FE220D" w:rsidRPr="001B5DC7" w:rsidRDefault="00593606" w:rsidP="002639CF">
      <w:pPr>
        <w:ind w:left="360" w:right="-360"/>
        <w:rPr>
          <w:rFonts w:asciiTheme="minorHAnsi" w:hAnsiTheme="minorHAnsi"/>
          <w:sz w:val="20"/>
          <w:szCs w:val="20"/>
        </w:rPr>
      </w:pPr>
      <w:r w:rsidRPr="001B5DC7">
        <w:rPr>
          <w:rFonts w:asciiTheme="minorHAnsi" w:hAnsiTheme="minorHAnsi"/>
          <w:sz w:val="20"/>
          <w:szCs w:val="20"/>
        </w:rPr>
        <w:t xml:space="preserve">For the content validity portion of the study, expert ratings will be kept anonymous. The rubrics will not include the name of the expert who completed it and they will be asked to turn in the completed rubrics into a box at a statewide meeting. </w:t>
      </w:r>
      <w:r w:rsidR="00BF65F7" w:rsidRPr="001B5DC7">
        <w:rPr>
          <w:rFonts w:asciiTheme="minorHAnsi" w:hAnsiTheme="minorHAnsi"/>
          <w:sz w:val="20"/>
          <w:szCs w:val="20"/>
        </w:rPr>
        <w:t>R</w:t>
      </w:r>
      <w:r w:rsidRPr="001B5DC7">
        <w:rPr>
          <w:rFonts w:asciiTheme="minorHAnsi" w:hAnsiTheme="minorHAnsi"/>
          <w:sz w:val="20"/>
          <w:szCs w:val="20"/>
        </w:rPr>
        <w:t xml:space="preserve">esearchers will leave the room when they submit their completed rubrics. </w:t>
      </w:r>
      <w:r w:rsidR="00B02199" w:rsidRPr="001B5DC7">
        <w:rPr>
          <w:rFonts w:asciiTheme="minorHAnsi" w:hAnsiTheme="minorHAnsi"/>
          <w:sz w:val="20"/>
          <w:szCs w:val="20"/>
        </w:rPr>
        <w:t>R</w:t>
      </w:r>
      <w:r w:rsidR="0066339B" w:rsidRPr="001B5DC7">
        <w:rPr>
          <w:rFonts w:asciiTheme="minorHAnsi" w:hAnsiTheme="minorHAnsi"/>
          <w:sz w:val="20"/>
          <w:szCs w:val="20"/>
        </w:rPr>
        <w:t xml:space="preserve">ubrics will be coded with a number for data analysis purposes. </w:t>
      </w:r>
      <w:r w:rsidR="00FE220D" w:rsidRPr="001B5DC7">
        <w:rPr>
          <w:rFonts w:asciiTheme="minorHAnsi" w:hAnsiTheme="minorHAnsi"/>
          <w:sz w:val="20"/>
          <w:szCs w:val="20"/>
        </w:rPr>
        <w:t>Finally, data obtained for the inter-rater reliability portion of the study will also be coded and identifiers will be removed to protect the identity of the supervisors</w:t>
      </w:r>
      <w:r w:rsidR="00BF65F7" w:rsidRPr="001B5DC7">
        <w:rPr>
          <w:rFonts w:asciiTheme="minorHAnsi" w:hAnsiTheme="minorHAnsi"/>
          <w:sz w:val="20"/>
          <w:szCs w:val="20"/>
        </w:rPr>
        <w:t>, supervisor observers,</w:t>
      </w:r>
      <w:r w:rsidR="00FE220D" w:rsidRPr="001B5DC7">
        <w:rPr>
          <w:rFonts w:asciiTheme="minorHAnsi" w:hAnsiTheme="minorHAnsi"/>
          <w:sz w:val="20"/>
          <w:szCs w:val="20"/>
        </w:rPr>
        <w:t xml:space="preserve"> and the student teachers who are being observed. </w:t>
      </w:r>
      <w:r w:rsidR="002639CF" w:rsidRPr="001B5DC7">
        <w:rPr>
          <w:rFonts w:asciiTheme="minorHAnsi" w:hAnsiTheme="minorHAnsi"/>
          <w:sz w:val="20"/>
          <w:szCs w:val="20"/>
        </w:rPr>
        <w:t xml:space="preserve">All </w:t>
      </w:r>
      <w:r w:rsidR="008E7D80" w:rsidRPr="001B5DC7">
        <w:rPr>
          <w:rFonts w:asciiTheme="minorHAnsi" w:hAnsiTheme="minorHAnsi"/>
          <w:sz w:val="20"/>
          <w:szCs w:val="20"/>
        </w:rPr>
        <w:t xml:space="preserve">written </w:t>
      </w:r>
      <w:r w:rsidR="002639CF" w:rsidRPr="001B5DC7">
        <w:rPr>
          <w:rFonts w:asciiTheme="minorHAnsi" w:hAnsiTheme="minorHAnsi"/>
          <w:sz w:val="20"/>
          <w:szCs w:val="20"/>
        </w:rPr>
        <w:t xml:space="preserve">products </w:t>
      </w:r>
      <w:r w:rsidR="008E7D80" w:rsidRPr="001B5DC7">
        <w:rPr>
          <w:rFonts w:asciiTheme="minorHAnsi" w:hAnsiTheme="minorHAnsi"/>
          <w:sz w:val="20"/>
          <w:szCs w:val="20"/>
        </w:rPr>
        <w:t xml:space="preserve">and records </w:t>
      </w:r>
      <w:r w:rsidR="002639CF" w:rsidRPr="001B5DC7">
        <w:rPr>
          <w:rFonts w:asciiTheme="minorHAnsi" w:hAnsiTheme="minorHAnsi"/>
          <w:sz w:val="20"/>
          <w:szCs w:val="20"/>
        </w:rPr>
        <w:t>will be stored in a locked cabinet in the Office of Educator Preparation and only the primary researchers will have access to the raw data.</w:t>
      </w:r>
      <w:r w:rsidR="008E7D80" w:rsidRPr="001B5DC7">
        <w:rPr>
          <w:rFonts w:asciiTheme="minorHAnsi" w:hAnsiTheme="minorHAnsi"/>
          <w:sz w:val="20"/>
          <w:szCs w:val="20"/>
        </w:rPr>
        <w:t xml:space="preserve"> All electronic records will be saved to the Assistant Dean’s drive in a folder that only the research team can access. We will work with OTEL to cre</w:t>
      </w:r>
      <w:r w:rsidR="00E36EAC" w:rsidRPr="001B5DC7">
        <w:rPr>
          <w:rFonts w:asciiTheme="minorHAnsi" w:hAnsiTheme="minorHAnsi"/>
          <w:sz w:val="20"/>
          <w:szCs w:val="20"/>
        </w:rPr>
        <w:t xml:space="preserve">ate this secure location and to ensure that access is only given when the appropriate steps have been taken. </w:t>
      </w:r>
      <w:r w:rsidR="002639CF" w:rsidRPr="001B5DC7">
        <w:rPr>
          <w:rFonts w:asciiTheme="minorHAnsi" w:hAnsiTheme="minorHAnsi"/>
          <w:sz w:val="20"/>
          <w:szCs w:val="20"/>
        </w:rPr>
        <w:t xml:space="preserve">The products </w:t>
      </w:r>
      <w:r w:rsidR="00E36EAC" w:rsidRPr="001B5DC7">
        <w:rPr>
          <w:rFonts w:asciiTheme="minorHAnsi" w:hAnsiTheme="minorHAnsi"/>
          <w:sz w:val="20"/>
          <w:szCs w:val="20"/>
        </w:rPr>
        <w:t>and records will be stored in these</w:t>
      </w:r>
      <w:r w:rsidR="002639CF" w:rsidRPr="001B5DC7">
        <w:rPr>
          <w:rFonts w:asciiTheme="minorHAnsi" w:hAnsiTheme="minorHAnsi"/>
          <w:sz w:val="20"/>
          <w:szCs w:val="20"/>
        </w:rPr>
        <w:t xml:space="preserve"> secure location</w:t>
      </w:r>
      <w:r w:rsidR="00E36EAC" w:rsidRPr="001B5DC7">
        <w:rPr>
          <w:rFonts w:asciiTheme="minorHAnsi" w:hAnsiTheme="minorHAnsi"/>
          <w:sz w:val="20"/>
          <w:szCs w:val="20"/>
        </w:rPr>
        <w:t>s</w:t>
      </w:r>
      <w:r w:rsidR="002639CF" w:rsidRPr="001B5DC7">
        <w:rPr>
          <w:rFonts w:asciiTheme="minorHAnsi" w:hAnsiTheme="minorHAnsi"/>
          <w:sz w:val="20"/>
          <w:szCs w:val="20"/>
        </w:rPr>
        <w:t xml:space="preserve"> for five years. </w:t>
      </w:r>
    </w:p>
    <w:p w14:paraId="537578D4" w14:textId="77777777" w:rsidR="00756A4B" w:rsidRPr="001B5DC7" w:rsidRDefault="00756A4B" w:rsidP="002639CF">
      <w:pPr>
        <w:ind w:left="360" w:right="-360"/>
        <w:rPr>
          <w:rFonts w:asciiTheme="minorHAnsi" w:hAnsiTheme="minorHAnsi"/>
          <w:sz w:val="20"/>
          <w:szCs w:val="20"/>
        </w:rPr>
      </w:pPr>
    </w:p>
    <w:p w14:paraId="5CA948FC" w14:textId="30F5B0F4" w:rsidR="00756A4B" w:rsidRPr="001B5DC7" w:rsidRDefault="00756A4B" w:rsidP="002639CF">
      <w:pPr>
        <w:ind w:left="360" w:right="-360"/>
        <w:rPr>
          <w:rFonts w:asciiTheme="minorHAnsi" w:hAnsiTheme="minorHAnsi"/>
          <w:sz w:val="20"/>
          <w:szCs w:val="20"/>
        </w:rPr>
      </w:pPr>
      <w:r w:rsidRPr="001B5DC7">
        <w:rPr>
          <w:rFonts w:asciiTheme="minorHAnsi" w:hAnsiTheme="minorHAnsi"/>
          <w:sz w:val="20"/>
          <w:szCs w:val="20"/>
        </w:rPr>
        <w:t>The potential risks involved for participants include discomfort due to the additional time requirement and breach of confidentiality. We will address these potential risks by informing the participants they can leave the study at any time and by de-identifying the data and coding the data for analysis. Another potential risk is that the student teacher may be uncomfortable with having two supervisors observe him or her</w:t>
      </w:r>
      <w:proofErr w:type="gramStart"/>
      <w:r w:rsidR="00BF65F7" w:rsidRPr="001B5DC7">
        <w:rPr>
          <w:rFonts w:asciiTheme="minorHAnsi" w:hAnsiTheme="minorHAnsi"/>
          <w:sz w:val="20"/>
          <w:szCs w:val="20"/>
        </w:rPr>
        <w:t>.</w:t>
      </w:r>
      <w:r w:rsidRPr="001B5DC7">
        <w:rPr>
          <w:rFonts w:asciiTheme="minorHAnsi" w:hAnsiTheme="minorHAnsi"/>
          <w:sz w:val="20"/>
          <w:szCs w:val="20"/>
        </w:rPr>
        <w:t>.</w:t>
      </w:r>
      <w:proofErr w:type="gramEnd"/>
      <w:r w:rsidRPr="001B5DC7">
        <w:rPr>
          <w:rFonts w:asciiTheme="minorHAnsi" w:hAnsiTheme="minorHAnsi"/>
          <w:sz w:val="20"/>
          <w:szCs w:val="20"/>
        </w:rPr>
        <w:t xml:space="preserve"> We will minimize this risk by obtaining consent from the student teacher and informing them that they can choose to leave the study at any time with no consequences. </w:t>
      </w:r>
      <w:r w:rsidR="00602F44" w:rsidRPr="001B5DC7">
        <w:rPr>
          <w:rFonts w:asciiTheme="minorHAnsi" w:hAnsiTheme="minorHAnsi"/>
          <w:sz w:val="20"/>
          <w:szCs w:val="20"/>
        </w:rPr>
        <w:t xml:space="preserve">The supervisors are also in a position of authority over the student teachers; therefore, it is important to note that </w:t>
      </w:r>
      <w:r w:rsidR="00BF65F7" w:rsidRPr="001B5DC7">
        <w:rPr>
          <w:rFonts w:asciiTheme="minorHAnsi" w:hAnsiTheme="minorHAnsi"/>
          <w:sz w:val="20"/>
          <w:szCs w:val="20"/>
        </w:rPr>
        <w:t xml:space="preserve">only the </w:t>
      </w:r>
      <w:r w:rsidR="00602F44" w:rsidRPr="001B5DC7">
        <w:rPr>
          <w:rFonts w:asciiTheme="minorHAnsi" w:hAnsiTheme="minorHAnsi"/>
          <w:sz w:val="20"/>
          <w:szCs w:val="20"/>
        </w:rPr>
        <w:t>primary supervisor is responsible for the formal evaluation of the student teacher</w:t>
      </w:r>
      <w:r w:rsidR="00BF65F7" w:rsidRPr="001B5DC7">
        <w:rPr>
          <w:rFonts w:asciiTheme="minorHAnsi" w:hAnsiTheme="minorHAnsi"/>
          <w:sz w:val="20"/>
          <w:szCs w:val="20"/>
        </w:rPr>
        <w:t xml:space="preserve"> and the observer supervisor data will not be shared with anyone except the research team</w:t>
      </w:r>
      <w:r w:rsidR="00602F44" w:rsidRPr="001B5DC7">
        <w:rPr>
          <w:rFonts w:asciiTheme="minorHAnsi" w:hAnsiTheme="minorHAnsi"/>
          <w:sz w:val="20"/>
          <w:szCs w:val="20"/>
        </w:rPr>
        <w:t>. If any of the participants feel uncomfortable, they can choose to leave the study and resume with the typical supervision model.</w:t>
      </w:r>
    </w:p>
    <w:p w14:paraId="6561E1EE" w14:textId="77777777" w:rsidR="008863EC" w:rsidRPr="001B5DC7" w:rsidRDefault="008863EC" w:rsidP="002639CF">
      <w:pPr>
        <w:ind w:left="360" w:right="-360"/>
        <w:rPr>
          <w:rFonts w:asciiTheme="minorHAnsi" w:hAnsiTheme="minorHAnsi"/>
          <w:sz w:val="20"/>
          <w:szCs w:val="20"/>
        </w:rPr>
      </w:pPr>
    </w:p>
    <w:p w14:paraId="7077CBEF" w14:textId="3F4EDAD2" w:rsidR="00FE6F0A" w:rsidRPr="001B5DC7" w:rsidRDefault="008863EC" w:rsidP="00826F61">
      <w:pPr>
        <w:ind w:left="360" w:right="-360"/>
        <w:rPr>
          <w:rFonts w:asciiTheme="minorHAnsi" w:hAnsiTheme="minorHAnsi"/>
          <w:sz w:val="20"/>
          <w:szCs w:val="20"/>
        </w:rPr>
      </w:pPr>
      <w:r w:rsidRPr="001B5DC7">
        <w:rPr>
          <w:rFonts w:asciiTheme="minorHAnsi" w:hAnsiTheme="minorHAnsi"/>
          <w:sz w:val="20"/>
          <w:szCs w:val="20"/>
        </w:rPr>
        <w:t>One anticipated benefit for the content validity participants includes the ability for the experts to have their voices heard on student teaching evaluation</w:t>
      </w:r>
      <w:r w:rsidR="00BF65F7" w:rsidRPr="001B5DC7">
        <w:rPr>
          <w:rFonts w:asciiTheme="minorHAnsi" w:hAnsiTheme="minorHAnsi"/>
          <w:sz w:val="20"/>
          <w:szCs w:val="20"/>
        </w:rPr>
        <w:t xml:space="preserve"> instrument</w:t>
      </w:r>
      <w:r w:rsidRPr="001B5DC7">
        <w:rPr>
          <w:rFonts w:asciiTheme="minorHAnsi" w:hAnsiTheme="minorHAnsi"/>
          <w:sz w:val="20"/>
          <w:szCs w:val="20"/>
        </w:rPr>
        <w:t>s that may be used beyond OSU. The evaluation</w:t>
      </w:r>
      <w:r w:rsidR="00BF65F7" w:rsidRPr="001B5DC7">
        <w:rPr>
          <w:rFonts w:asciiTheme="minorHAnsi" w:hAnsiTheme="minorHAnsi"/>
          <w:sz w:val="20"/>
          <w:szCs w:val="20"/>
        </w:rPr>
        <w:t xml:space="preserve"> instrument</w:t>
      </w:r>
      <w:r w:rsidRPr="001B5DC7">
        <w:rPr>
          <w:rFonts w:asciiTheme="minorHAnsi" w:hAnsiTheme="minorHAnsi"/>
          <w:sz w:val="20"/>
          <w:szCs w:val="20"/>
        </w:rPr>
        <w:t>s in this project are being developed for the new Council for Accreditation of Educator Preparation (CAEP) requirements. Our team plans to share the evaluation</w:t>
      </w:r>
      <w:r w:rsidR="00BF65F7" w:rsidRPr="001B5DC7">
        <w:rPr>
          <w:rFonts w:asciiTheme="minorHAnsi" w:hAnsiTheme="minorHAnsi"/>
          <w:sz w:val="20"/>
          <w:szCs w:val="20"/>
        </w:rPr>
        <w:t xml:space="preserve"> instrument</w:t>
      </w:r>
      <w:r w:rsidRPr="001B5DC7">
        <w:rPr>
          <w:rFonts w:asciiTheme="minorHAnsi" w:hAnsiTheme="minorHAnsi"/>
          <w:sz w:val="20"/>
          <w:szCs w:val="20"/>
        </w:rPr>
        <w:t xml:space="preserve">s with other educator preparation programs after we establish acceptable validity and reliability. A potential benefit to the student teachers in the inter-rater reliability portion of the study is that they will receive feedback and support from an additional supervisor, which can ultimately increase their success during student teaching. </w:t>
      </w:r>
      <w:r w:rsidR="00200A89" w:rsidRPr="001B5DC7">
        <w:rPr>
          <w:rFonts w:asciiTheme="minorHAnsi" w:hAnsiTheme="minorHAnsi"/>
          <w:sz w:val="20"/>
          <w:szCs w:val="20"/>
        </w:rPr>
        <w:t xml:space="preserve">A potential benefit for the supervisors of this study is that they can gain a deeper understanding of the </w:t>
      </w:r>
      <w:r w:rsidR="00C66526" w:rsidRPr="001B5DC7">
        <w:rPr>
          <w:rFonts w:asciiTheme="minorHAnsi" w:hAnsiTheme="minorHAnsi"/>
          <w:sz w:val="20"/>
          <w:szCs w:val="20"/>
        </w:rPr>
        <w:t>supervision process</w:t>
      </w:r>
      <w:r w:rsidR="00200A89" w:rsidRPr="001B5DC7">
        <w:rPr>
          <w:rFonts w:asciiTheme="minorHAnsi" w:hAnsiTheme="minorHAnsi"/>
          <w:sz w:val="20"/>
          <w:szCs w:val="20"/>
        </w:rPr>
        <w:t xml:space="preserve"> through additional practice opportunities. </w:t>
      </w:r>
      <w:r w:rsidR="00FE6F0A" w:rsidRPr="001B5DC7">
        <w:rPr>
          <w:rFonts w:asciiTheme="minorHAnsi" w:hAnsiTheme="minorHAnsi"/>
          <w:sz w:val="20"/>
          <w:szCs w:val="20"/>
        </w:rPr>
        <w:tab/>
      </w:r>
      <w:r w:rsidR="00FE6F0A" w:rsidRPr="001B5DC7">
        <w:rPr>
          <w:rFonts w:asciiTheme="minorHAnsi" w:hAnsiTheme="minorHAnsi"/>
          <w:sz w:val="20"/>
          <w:szCs w:val="20"/>
        </w:rPr>
        <w:tab/>
      </w:r>
    </w:p>
    <w:p w14:paraId="3ED790ED" w14:textId="77777777" w:rsidR="00FE6F0A" w:rsidRPr="001B5DC7" w:rsidRDefault="00FE6F0A" w:rsidP="00B834B1">
      <w:pPr>
        <w:pStyle w:val="Heading2"/>
        <w:tabs>
          <w:tab w:val="clear" w:pos="432"/>
          <w:tab w:val="num" w:pos="360"/>
        </w:tabs>
        <w:ind w:hanging="1368"/>
        <w:rPr>
          <w:rFonts w:asciiTheme="minorHAnsi" w:hAnsiTheme="minorHAnsi"/>
          <w:sz w:val="20"/>
          <w:szCs w:val="20"/>
        </w:rPr>
      </w:pPr>
      <w:r w:rsidRPr="001B5DC7">
        <w:rPr>
          <w:rFonts w:asciiTheme="minorHAnsi" w:hAnsiTheme="minorHAnsi"/>
          <w:sz w:val="20"/>
          <w:szCs w:val="20"/>
        </w:rPr>
        <w:t xml:space="preserve">Internal </w:t>
      </w:r>
      <w:r w:rsidR="0062101E" w:rsidRPr="001B5DC7">
        <w:rPr>
          <w:rFonts w:asciiTheme="minorHAnsi" w:hAnsiTheme="minorHAnsi"/>
          <w:sz w:val="20"/>
          <w:szCs w:val="20"/>
        </w:rPr>
        <w:t xml:space="preserve">and External </w:t>
      </w:r>
      <w:r w:rsidRPr="001B5DC7">
        <w:rPr>
          <w:rFonts w:asciiTheme="minorHAnsi" w:hAnsiTheme="minorHAnsi"/>
          <w:sz w:val="20"/>
          <w:szCs w:val="20"/>
        </w:rPr>
        <w:t>Validity</w:t>
      </w:r>
    </w:p>
    <w:p w14:paraId="6EDFACBC" w14:textId="77777777" w:rsidR="00FE6F0A" w:rsidRPr="001B5DC7" w:rsidRDefault="00FE6F0A" w:rsidP="00B834B1">
      <w:pPr>
        <w:pStyle w:val="BlockText"/>
        <w:ind w:left="360"/>
        <w:rPr>
          <w:rFonts w:asciiTheme="minorHAnsi" w:hAnsiTheme="minorHAnsi"/>
          <w:b/>
          <w:sz w:val="20"/>
          <w:szCs w:val="20"/>
        </w:rPr>
      </w:pPr>
      <w:r w:rsidRPr="001B5DC7">
        <w:rPr>
          <w:rFonts w:asciiTheme="minorHAnsi" w:hAnsiTheme="minorHAnsi"/>
          <w:b/>
          <w:sz w:val="20"/>
          <w:szCs w:val="20"/>
        </w:rPr>
        <w:t xml:space="preserve">Threats to internal / external validity should be considered. Describe measures that have been taken to avoid study bias. </w:t>
      </w:r>
    </w:p>
    <w:p w14:paraId="15F2A3EE" w14:textId="77777777" w:rsidR="00B834B1" w:rsidRPr="001B5DC7" w:rsidRDefault="00B834B1" w:rsidP="00B834B1">
      <w:pPr>
        <w:ind w:right="-360"/>
        <w:rPr>
          <w:rFonts w:asciiTheme="minorHAnsi" w:hAnsiTheme="minorHAnsi"/>
          <w:sz w:val="20"/>
          <w:szCs w:val="20"/>
        </w:rPr>
      </w:pPr>
    </w:p>
    <w:p w14:paraId="1887B037" w14:textId="4F2D8FF7" w:rsidR="00613198" w:rsidRPr="001B5DC7" w:rsidRDefault="00613198" w:rsidP="006927F8">
      <w:pPr>
        <w:ind w:left="360" w:right="-360"/>
        <w:rPr>
          <w:rFonts w:asciiTheme="minorHAnsi" w:hAnsiTheme="minorHAnsi"/>
          <w:sz w:val="20"/>
          <w:szCs w:val="20"/>
        </w:rPr>
      </w:pPr>
      <w:r w:rsidRPr="001B5DC7">
        <w:rPr>
          <w:rFonts w:asciiTheme="minorHAnsi" w:hAnsiTheme="minorHAnsi"/>
          <w:sz w:val="20"/>
          <w:szCs w:val="20"/>
        </w:rPr>
        <w:t xml:space="preserve">Given that we are </w:t>
      </w:r>
      <w:r w:rsidR="007724F0" w:rsidRPr="001B5DC7">
        <w:rPr>
          <w:rFonts w:asciiTheme="minorHAnsi" w:hAnsiTheme="minorHAnsi"/>
          <w:sz w:val="20"/>
          <w:szCs w:val="20"/>
        </w:rPr>
        <w:t>conducting</w:t>
      </w:r>
      <w:r w:rsidRPr="001B5DC7">
        <w:rPr>
          <w:rFonts w:asciiTheme="minorHAnsi" w:hAnsiTheme="minorHAnsi"/>
          <w:sz w:val="20"/>
          <w:szCs w:val="20"/>
        </w:rPr>
        <w:t xml:space="preserve"> correlational research and not </w:t>
      </w:r>
      <w:r w:rsidR="00DC1CA7" w:rsidRPr="001B5DC7">
        <w:rPr>
          <w:rFonts w:asciiTheme="minorHAnsi" w:hAnsiTheme="minorHAnsi"/>
          <w:sz w:val="20"/>
          <w:szCs w:val="20"/>
        </w:rPr>
        <w:t>experimental</w:t>
      </w:r>
      <w:r w:rsidRPr="001B5DC7">
        <w:rPr>
          <w:rFonts w:asciiTheme="minorHAnsi" w:hAnsiTheme="minorHAnsi"/>
          <w:sz w:val="20"/>
          <w:szCs w:val="20"/>
        </w:rPr>
        <w:t xml:space="preserve"> research, there are no </w:t>
      </w:r>
      <w:r w:rsidR="000D1CF6" w:rsidRPr="001B5DC7">
        <w:rPr>
          <w:rFonts w:asciiTheme="minorHAnsi" w:hAnsiTheme="minorHAnsi"/>
          <w:sz w:val="20"/>
          <w:szCs w:val="20"/>
        </w:rPr>
        <w:t xml:space="preserve">threats to </w:t>
      </w:r>
      <w:r w:rsidRPr="001B5DC7">
        <w:rPr>
          <w:rFonts w:asciiTheme="minorHAnsi" w:hAnsiTheme="minorHAnsi"/>
          <w:sz w:val="20"/>
          <w:szCs w:val="20"/>
        </w:rPr>
        <w:t xml:space="preserve">internal </w:t>
      </w:r>
      <w:r w:rsidR="000D1CF6" w:rsidRPr="001B5DC7">
        <w:rPr>
          <w:rFonts w:asciiTheme="minorHAnsi" w:hAnsiTheme="minorHAnsi"/>
          <w:sz w:val="20"/>
          <w:szCs w:val="20"/>
        </w:rPr>
        <w:t>validity</w:t>
      </w:r>
      <w:r w:rsidR="006F0B44" w:rsidRPr="001B5DC7">
        <w:rPr>
          <w:rFonts w:asciiTheme="minorHAnsi" w:hAnsiTheme="minorHAnsi"/>
          <w:sz w:val="20"/>
          <w:szCs w:val="20"/>
        </w:rPr>
        <w:t xml:space="preserve"> that need to be addressed</w:t>
      </w:r>
      <w:r w:rsidR="000D1CF6" w:rsidRPr="001B5DC7">
        <w:rPr>
          <w:rFonts w:asciiTheme="minorHAnsi" w:hAnsiTheme="minorHAnsi"/>
          <w:sz w:val="20"/>
          <w:szCs w:val="20"/>
        </w:rPr>
        <w:t>.</w:t>
      </w:r>
      <w:r w:rsidR="006927F8" w:rsidRPr="001B5DC7">
        <w:rPr>
          <w:rFonts w:asciiTheme="minorHAnsi" w:hAnsiTheme="minorHAnsi"/>
          <w:sz w:val="20"/>
          <w:szCs w:val="20"/>
        </w:rPr>
        <w:t xml:space="preserve"> </w:t>
      </w:r>
      <w:r w:rsidR="0062101E" w:rsidRPr="001B5DC7">
        <w:rPr>
          <w:rFonts w:asciiTheme="minorHAnsi" w:hAnsiTheme="minorHAnsi"/>
          <w:sz w:val="20"/>
          <w:szCs w:val="20"/>
        </w:rPr>
        <w:t xml:space="preserve">This is essentially a business as usual study examining student teaching assessments, and there is no additional intervention. </w:t>
      </w:r>
      <w:r w:rsidR="006F0B44" w:rsidRPr="001B5DC7">
        <w:rPr>
          <w:rFonts w:asciiTheme="minorHAnsi" w:hAnsiTheme="minorHAnsi"/>
          <w:sz w:val="20"/>
          <w:szCs w:val="20"/>
        </w:rPr>
        <w:t>W</w:t>
      </w:r>
      <w:r w:rsidRPr="001B5DC7">
        <w:rPr>
          <w:rFonts w:asciiTheme="minorHAnsi" w:hAnsiTheme="minorHAnsi"/>
          <w:sz w:val="20"/>
          <w:szCs w:val="20"/>
        </w:rPr>
        <w:t xml:space="preserve">e </w:t>
      </w:r>
      <w:r w:rsidR="000D1CF6" w:rsidRPr="001B5DC7">
        <w:rPr>
          <w:rFonts w:asciiTheme="minorHAnsi" w:hAnsiTheme="minorHAnsi"/>
          <w:sz w:val="20"/>
          <w:szCs w:val="20"/>
        </w:rPr>
        <w:t xml:space="preserve">will be </w:t>
      </w:r>
      <w:r w:rsidRPr="001B5DC7">
        <w:rPr>
          <w:rFonts w:asciiTheme="minorHAnsi" w:hAnsiTheme="minorHAnsi"/>
          <w:sz w:val="20"/>
          <w:szCs w:val="20"/>
        </w:rPr>
        <w:t>u</w:t>
      </w:r>
      <w:r w:rsidR="000D1CF6" w:rsidRPr="001B5DC7">
        <w:rPr>
          <w:rFonts w:asciiTheme="minorHAnsi" w:hAnsiTheme="minorHAnsi"/>
          <w:sz w:val="20"/>
          <w:szCs w:val="20"/>
        </w:rPr>
        <w:t>s</w:t>
      </w:r>
      <w:r w:rsidRPr="001B5DC7">
        <w:rPr>
          <w:rFonts w:asciiTheme="minorHAnsi" w:hAnsiTheme="minorHAnsi"/>
          <w:sz w:val="20"/>
          <w:szCs w:val="20"/>
        </w:rPr>
        <w:t>ing the data for all student teachers</w:t>
      </w:r>
      <w:r w:rsidR="000D1CF6" w:rsidRPr="001B5DC7">
        <w:rPr>
          <w:rFonts w:asciiTheme="minorHAnsi" w:hAnsiTheme="minorHAnsi"/>
          <w:sz w:val="20"/>
          <w:szCs w:val="20"/>
        </w:rPr>
        <w:t xml:space="preserve"> for </w:t>
      </w:r>
      <w:r w:rsidR="006F0B44" w:rsidRPr="001B5DC7">
        <w:rPr>
          <w:rFonts w:asciiTheme="minorHAnsi" w:hAnsiTheme="minorHAnsi"/>
          <w:sz w:val="20"/>
          <w:szCs w:val="20"/>
        </w:rPr>
        <w:t>several</w:t>
      </w:r>
      <w:r w:rsidR="000D1CF6" w:rsidRPr="001B5DC7">
        <w:rPr>
          <w:rFonts w:asciiTheme="minorHAnsi" w:hAnsiTheme="minorHAnsi"/>
          <w:sz w:val="20"/>
          <w:szCs w:val="20"/>
        </w:rPr>
        <w:t xml:space="preserve"> portion</w:t>
      </w:r>
      <w:r w:rsidR="006F0B44" w:rsidRPr="001B5DC7">
        <w:rPr>
          <w:rFonts w:asciiTheme="minorHAnsi" w:hAnsiTheme="minorHAnsi"/>
          <w:sz w:val="20"/>
          <w:szCs w:val="20"/>
        </w:rPr>
        <w:t>s</w:t>
      </w:r>
      <w:r w:rsidR="000D1CF6" w:rsidRPr="001B5DC7">
        <w:rPr>
          <w:rFonts w:asciiTheme="minorHAnsi" w:hAnsiTheme="minorHAnsi"/>
          <w:sz w:val="20"/>
          <w:szCs w:val="20"/>
        </w:rPr>
        <w:t xml:space="preserve"> of this study</w:t>
      </w:r>
      <w:r w:rsidR="006F0B44" w:rsidRPr="001B5DC7">
        <w:rPr>
          <w:rFonts w:asciiTheme="minorHAnsi" w:hAnsiTheme="minorHAnsi"/>
          <w:sz w:val="20"/>
          <w:szCs w:val="20"/>
        </w:rPr>
        <w:t>; therefore,</w:t>
      </w:r>
      <w:r w:rsidRPr="001B5DC7">
        <w:rPr>
          <w:rFonts w:asciiTheme="minorHAnsi" w:hAnsiTheme="minorHAnsi"/>
          <w:sz w:val="20"/>
          <w:szCs w:val="20"/>
        </w:rPr>
        <w:t xml:space="preserve"> our sam</w:t>
      </w:r>
      <w:r w:rsidR="006F0B44" w:rsidRPr="001B5DC7">
        <w:rPr>
          <w:rFonts w:asciiTheme="minorHAnsi" w:hAnsiTheme="minorHAnsi"/>
          <w:sz w:val="20"/>
          <w:szCs w:val="20"/>
        </w:rPr>
        <w:t>ple is the population</w:t>
      </w:r>
      <w:r w:rsidR="006927F8" w:rsidRPr="001B5DC7">
        <w:rPr>
          <w:rFonts w:asciiTheme="minorHAnsi" w:hAnsiTheme="minorHAnsi"/>
          <w:sz w:val="20"/>
          <w:szCs w:val="20"/>
        </w:rPr>
        <w:t>,</w:t>
      </w:r>
      <w:r w:rsidR="006F0B44" w:rsidRPr="001B5DC7">
        <w:rPr>
          <w:rFonts w:asciiTheme="minorHAnsi" w:hAnsiTheme="minorHAnsi"/>
          <w:sz w:val="20"/>
          <w:szCs w:val="20"/>
        </w:rPr>
        <w:t xml:space="preserve"> which minimizes threats to external validity </w:t>
      </w:r>
      <w:r w:rsidR="000D1CF6" w:rsidRPr="001B5DC7">
        <w:rPr>
          <w:rFonts w:asciiTheme="minorHAnsi" w:hAnsiTheme="minorHAnsi"/>
          <w:sz w:val="20"/>
          <w:szCs w:val="20"/>
        </w:rPr>
        <w:t>for those portions of the study.</w:t>
      </w:r>
      <w:r w:rsidR="006927F8" w:rsidRPr="001B5DC7">
        <w:rPr>
          <w:rFonts w:asciiTheme="minorHAnsi" w:hAnsiTheme="minorHAnsi"/>
          <w:sz w:val="20"/>
          <w:szCs w:val="20"/>
        </w:rPr>
        <w:t xml:space="preserve"> </w:t>
      </w:r>
      <w:r w:rsidR="000A11D0" w:rsidRPr="001B5DC7">
        <w:rPr>
          <w:rFonts w:asciiTheme="minorHAnsi" w:hAnsiTheme="minorHAnsi"/>
          <w:sz w:val="20"/>
          <w:szCs w:val="20"/>
        </w:rPr>
        <w:t>For the content validity portion of the study, we have minimized threats to external validity by recruiting content experts from a statewide committee. This committee is representative of the educator preparation programs throughout the state (small vs. large, private vs. public, urban vs. rural)</w:t>
      </w:r>
      <w:r w:rsidR="00BF65F7" w:rsidRPr="001B5DC7">
        <w:rPr>
          <w:rFonts w:asciiTheme="minorHAnsi" w:hAnsiTheme="minorHAnsi"/>
          <w:sz w:val="20"/>
          <w:szCs w:val="20"/>
        </w:rPr>
        <w:t>.</w:t>
      </w:r>
      <w:r w:rsidR="006927F8" w:rsidRPr="001B5DC7">
        <w:rPr>
          <w:rFonts w:asciiTheme="minorHAnsi" w:hAnsiTheme="minorHAnsi"/>
          <w:sz w:val="20"/>
          <w:szCs w:val="20"/>
        </w:rPr>
        <w:t xml:space="preserve"> </w:t>
      </w:r>
      <w:r w:rsidR="00DC1CA7" w:rsidRPr="001B5DC7">
        <w:rPr>
          <w:rFonts w:asciiTheme="minorHAnsi" w:hAnsiTheme="minorHAnsi"/>
          <w:sz w:val="20"/>
          <w:szCs w:val="20"/>
        </w:rPr>
        <w:t xml:space="preserve">In order to minimize threats to external validity for the </w:t>
      </w:r>
      <w:r w:rsidR="000D1CF6" w:rsidRPr="001B5DC7">
        <w:rPr>
          <w:rFonts w:asciiTheme="minorHAnsi" w:hAnsiTheme="minorHAnsi"/>
          <w:sz w:val="20"/>
          <w:szCs w:val="20"/>
        </w:rPr>
        <w:t>inter-rater reliability portion of the study</w:t>
      </w:r>
      <w:r w:rsidR="00DC1CA7" w:rsidRPr="001B5DC7">
        <w:rPr>
          <w:rFonts w:asciiTheme="minorHAnsi" w:hAnsiTheme="minorHAnsi"/>
          <w:sz w:val="20"/>
          <w:szCs w:val="20"/>
        </w:rPr>
        <w:t>, we will collect inter-rater reliability data for</w:t>
      </w:r>
      <w:r w:rsidRPr="001B5DC7">
        <w:rPr>
          <w:rFonts w:asciiTheme="minorHAnsi" w:hAnsiTheme="minorHAnsi"/>
          <w:sz w:val="20"/>
          <w:szCs w:val="20"/>
        </w:rPr>
        <w:t xml:space="preserve"> 10-20% of the </w:t>
      </w:r>
      <w:r w:rsidR="007724F0" w:rsidRPr="001B5DC7">
        <w:rPr>
          <w:rFonts w:asciiTheme="minorHAnsi" w:hAnsiTheme="minorHAnsi"/>
          <w:sz w:val="20"/>
          <w:szCs w:val="20"/>
        </w:rPr>
        <w:t xml:space="preserve">sample, which is standard in these types of studies. </w:t>
      </w:r>
      <w:r w:rsidR="004A3663" w:rsidRPr="001B5DC7">
        <w:rPr>
          <w:rFonts w:asciiTheme="minorHAnsi" w:hAnsiTheme="minorHAnsi"/>
          <w:sz w:val="20"/>
          <w:szCs w:val="20"/>
        </w:rPr>
        <w:t xml:space="preserve">Additionally, we will select </w:t>
      </w:r>
      <w:r w:rsidR="00070B00" w:rsidRPr="001B5DC7">
        <w:rPr>
          <w:rFonts w:asciiTheme="minorHAnsi" w:hAnsiTheme="minorHAnsi"/>
          <w:sz w:val="20"/>
          <w:szCs w:val="20"/>
        </w:rPr>
        <w:t>supervisors from various program areas</w:t>
      </w:r>
      <w:r w:rsidR="00E6364B" w:rsidRPr="001B5DC7">
        <w:rPr>
          <w:rFonts w:asciiTheme="minorHAnsi" w:hAnsiTheme="minorHAnsi"/>
          <w:sz w:val="20"/>
          <w:szCs w:val="20"/>
        </w:rPr>
        <w:t xml:space="preserve"> in order</w:t>
      </w:r>
      <w:r w:rsidR="00070B00" w:rsidRPr="001B5DC7">
        <w:rPr>
          <w:rFonts w:asciiTheme="minorHAnsi" w:hAnsiTheme="minorHAnsi"/>
          <w:sz w:val="20"/>
          <w:szCs w:val="20"/>
        </w:rPr>
        <w:t xml:space="preserve"> to increase representativen</w:t>
      </w:r>
      <w:r w:rsidR="001B5DC7">
        <w:rPr>
          <w:rFonts w:asciiTheme="minorHAnsi" w:hAnsiTheme="minorHAnsi"/>
          <w:sz w:val="20"/>
          <w:szCs w:val="20"/>
        </w:rPr>
        <w:t xml:space="preserve">ess within the supervisor group </w:t>
      </w:r>
      <w:r w:rsidR="00E6364B" w:rsidRPr="001B5DC7">
        <w:rPr>
          <w:rFonts w:asciiTheme="minorHAnsi" w:hAnsiTheme="minorHAnsi"/>
          <w:sz w:val="20"/>
          <w:szCs w:val="20"/>
        </w:rPr>
        <w:t xml:space="preserve">selected for inter-rater reliability </w:t>
      </w:r>
      <w:r w:rsidR="00070B00" w:rsidRPr="001B5DC7">
        <w:rPr>
          <w:rFonts w:asciiTheme="minorHAnsi" w:hAnsiTheme="minorHAnsi"/>
          <w:sz w:val="20"/>
          <w:szCs w:val="20"/>
        </w:rPr>
        <w:t xml:space="preserve">and minimize threats to </w:t>
      </w:r>
      <w:r w:rsidR="00E6364B" w:rsidRPr="001B5DC7">
        <w:rPr>
          <w:rFonts w:asciiTheme="minorHAnsi" w:hAnsiTheme="minorHAnsi"/>
          <w:sz w:val="20"/>
          <w:szCs w:val="20"/>
        </w:rPr>
        <w:t xml:space="preserve">external </w:t>
      </w:r>
      <w:r w:rsidR="00070B00" w:rsidRPr="001B5DC7">
        <w:rPr>
          <w:rFonts w:asciiTheme="minorHAnsi" w:hAnsiTheme="minorHAnsi"/>
          <w:sz w:val="20"/>
          <w:szCs w:val="20"/>
        </w:rPr>
        <w:t>validity</w:t>
      </w:r>
    </w:p>
    <w:p w14:paraId="287FDDC9" w14:textId="77777777" w:rsidR="007724F0" w:rsidRPr="001B5DC7" w:rsidRDefault="007724F0" w:rsidP="00B834B1">
      <w:pPr>
        <w:ind w:right="-360"/>
        <w:rPr>
          <w:rFonts w:asciiTheme="minorHAnsi" w:hAnsiTheme="minorHAnsi"/>
          <w:sz w:val="20"/>
          <w:szCs w:val="20"/>
        </w:rPr>
      </w:pPr>
    </w:p>
    <w:p w14:paraId="4C6C3D83" w14:textId="77777777" w:rsidR="00FE6F0A" w:rsidRPr="001B5DC7" w:rsidRDefault="00FE6F0A" w:rsidP="00B834B1">
      <w:pPr>
        <w:pStyle w:val="Heading2"/>
        <w:tabs>
          <w:tab w:val="clear" w:pos="432"/>
          <w:tab w:val="num" w:pos="360"/>
        </w:tabs>
        <w:ind w:hanging="1368"/>
        <w:rPr>
          <w:rFonts w:asciiTheme="minorHAnsi" w:hAnsiTheme="minorHAnsi"/>
          <w:sz w:val="20"/>
          <w:szCs w:val="20"/>
        </w:rPr>
      </w:pPr>
      <w:r w:rsidRPr="001B5DC7">
        <w:rPr>
          <w:rFonts w:asciiTheme="minorHAnsi" w:hAnsiTheme="minorHAnsi"/>
          <w:sz w:val="20"/>
          <w:szCs w:val="20"/>
        </w:rPr>
        <w:t>D</w:t>
      </w:r>
      <w:r w:rsidR="00B834B1" w:rsidRPr="001B5DC7">
        <w:rPr>
          <w:rFonts w:asciiTheme="minorHAnsi" w:hAnsiTheme="minorHAnsi"/>
          <w:sz w:val="20"/>
          <w:szCs w:val="20"/>
        </w:rPr>
        <w:t>ata Analysis</w:t>
      </w:r>
    </w:p>
    <w:p w14:paraId="6F80AE18" w14:textId="77777777" w:rsidR="00FE6F0A" w:rsidRPr="001B5DC7" w:rsidRDefault="00FE6F0A" w:rsidP="00B834B1">
      <w:pPr>
        <w:pStyle w:val="BlockText"/>
        <w:ind w:left="360"/>
        <w:rPr>
          <w:rFonts w:asciiTheme="minorHAnsi" w:hAnsiTheme="minorHAnsi"/>
          <w:b/>
          <w:bCs/>
          <w:sz w:val="20"/>
          <w:szCs w:val="20"/>
        </w:rPr>
      </w:pPr>
      <w:r w:rsidRPr="001B5DC7">
        <w:rPr>
          <w:rFonts w:asciiTheme="minorHAnsi" w:hAnsiTheme="minorHAnsi"/>
          <w:b/>
          <w:bCs/>
          <w:sz w:val="20"/>
          <w:szCs w:val="20"/>
        </w:rPr>
        <w:t>Specify the analytic techniques the researcher will use to answer the study questions. Indicate the statistical procedures (e.g. specific descriptive or inferential tests) that will be used and why the procedures are appropriate. For qualitative data, specify the proposed analytic approaches.</w:t>
      </w:r>
    </w:p>
    <w:p w14:paraId="36A3B0F3" w14:textId="77777777" w:rsidR="009D474E" w:rsidRPr="001B5DC7" w:rsidRDefault="009D474E" w:rsidP="00B834B1">
      <w:pPr>
        <w:pStyle w:val="BlockText"/>
        <w:ind w:left="360"/>
        <w:rPr>
          <w:rFonts w:asciiTheme="minorHAnsi" w:hAnsiTheme="minorHAnsi"/>
          <w:bCs/>
          <w:sz w:val="20"/>
          <w:szCs w:val="20"/>
        </w:rPr>
      </w:pPr>
    </w:p>
    <w:p w14:paraId="40C83936" w14:textId="77777777" w:rsidR="0062101E" w:rsidRPr="001B5DC7" w:rsidRDefault="0062101E" w:rsidP="00B834B1">
      <w:pPr>
        <w:pStyle w:val="BlockText"/>
        <w:ind w:left="360"/>
        <w:rPr>
          <w:rFonts w:asciiTheme="minorHAnsi" w:hAnsiTheme="minorHAnsi"/>
          <w:bCs/>
          <w:sz w:val="20"/>
          <w:szCs w:val="20"/>
        </w:rPr>
      </w:pPr>
      <w:r w:rsidRPr="001B5DC7">
        <w:rPr>
          <w:rFonts w:asciiTheme="minorHAnsi" w:hAnsiTheme="minorHAnsi"/>
          <w:bCs/>
          <w:sz w:val="20"/>
          <w:szCs w:val="20"/>
        </w:rPr>
        <w:t xml:space="preserve">The analyses will consist of basic descriptive statistics, correlations, factor analyses, inter-rater agreement, content validity ratios, </w:t>
      </w:r>
      <w:r w:rsidR="00F20D46" w:rsidRPr="001B5DC7">
        <w:rPr>
          <w:rFonts w:asciiTheme="minorHAnsi" w:hAnsiTheme="minorHAnsi"/>
          <w:bCs/>
          <w:sz w:val="20"/>
          <w:szCs w:val="20"/>
        </w:rPr>
        <w:t xml:space="preserve">and internal consistency measures of reliability (coefficient alpha and </w:t>
      </w:r>
      <w:proofErr w:type="spellStart"/>
      <w:r w:rsidR="00F20D46" w:rsidRPr="001B5DC7">
        <w:rPr>
          <w:rFonts w:asciiTheme="minorHAnsi" w:hAnsiTheme="minorHAnsi"/>
          <w:bCs/>
          <w:sz w:val="20"/>
          <w:szCs w:val="20"/>
        </w:rPr>
        <w:t>Kuder</w:t>
      </w:r>
      <w:proofErr w:type="spellEnd"/>
      <w:r w:rsidR="00F20D46" w:rsidRPr="001B5DC7">
        <w:rPr>
          <w:rFonts w:asciiTheme="minorHAnsi" w:hAnsiTheme="minorHAnsi"/>
          <w:bCs/>
          <w:sz w:val="20"/>
          <w:szCs w:val="20"/>
        </w:rPr>
        <w:t>-Richardson).  These are the gold standard methods for assessing reliability and validity</w:t>
      </w:r>
    </w:p>
    <w:p w14:paraId="5C47ABC6" w14:textId="77777777" w:rsidR="00FE6F0A" w:rsidRPr="001B5DC7" w:rsidRDefault="00FE6F0A">
      <w:pPr>
        <w:ind w:left="-360" w:right="-360"/>
        <w:rPr>
          <w:rFonts w:asciiTheme="minorHAnsi" w:hAnsiTheme="minorHAnsi"/>
          <w:sz w:val="20"/>
          <w:szCs w:val="20"/>
        </w:rPr>
      </w:pPr>
    </w:p>
    <w:p w14:paraId="4495BEFE" w14:textId="77777777" w:rsidR="00FE6F0A" w:rsidRPr="001B5DC7" w:rsidRDefault="00B834B1" w:rsidP="00B834B1">
      <w:pPr>
        <w:pStyle w:val="Heading1"/>
        <w:ind w:hanging="720"/>
        <w:rPr>
          <w:rFonts w:asciiTheme="minorHAnsi" w:hAnsiTheme="minorHAnsi"/>
          <w:sz w:val="20"/>
          <w:szCs w:val="20"/>
        </w:rPr>
      </w:pPr>
      <w:r w:rsidRPr="001B5DC7">
        <w:rPr>
          <w:rFonts w:asciiTheme="minorHAnsi" w:hAnsiTheme="minorHAnsi"/>
          <w:sz w:val="20"/>
          <w:szCs w:val="20"/>
        </w:rPr>
        <w:t>Bibliography</w:t>
      </w:r>
    </w:p>
    <w:p w14:paraId="3FCCFDF9" w14:textId="77777777" w:rsidR="00FE6F0A" w:rsidRPr="001B5DC7" w:rsidRDefault="00FE6F0A" w:rsidP="00B834B1">
      <w:pPr>
        <w:ind w:right="-360"/>
        <w:rPr>
          <w:rFonts w:asciiTheme="minorHAnsi" w:hAnsiTheme="minorHAnsi"/>
          <w:sz w:val="20"/>
          <w:szCs w:val="20"/>
        </w:rPr>
      </w:pPr>
      <w:r w:rsidRPr="001B5DC7">
        <w:rPr>
          <w:rFonts w:asciiTheme="minorHAnsi" w:hAnsiTheme="minorHAnsi"/>
          <w:sz w:val="20"/>
          <w:szCs w:val="20"/>
        </w:rPr>
        <w:t>Include a reference list of literature cited to support the protocol statement.</w:t>
      </w:r>
    </w:p>
    <w:p w14:paraId="36382248" w14:textId="77777777" w:rsidR="00FE6F0A" w:rsidRPr="001B5DC7" w:rsidRDefault="00FE6F0A">
      <w:pPr>
        <w:ind w:left="-360" w:right="-360"/>
        <w:rPr>
          <w:rFonts w:asciiTheme="minorHAnsi" w:hAnsiTheme="minorHAnsi"/>
          <w:b/>
          <w:sz w:val="20"/>
          <w:szCs w:val="20"/>
        </w:rPr>
      </w:pPr>
    </w:p>
    <w:p w14:paraId="2288026B" w14:textId="6B98DB94" w:rsidR="00FE6F0A" w:rsidRPr="001B5DC7" w:rsidRDefault="00C2795A">
      <w:pPr>
        <w:ind w:left="-360" w:right="-360"/>
        <w:rPr>
          <w:rFonts w:asciiTheme="minorHAnsi" w:hAnsiTheme="minorHAnsi"/>
          <w:b/>
          <w:sz w:val="20"/>
          <w:szCs w:val="20"/>
        </w:rPr>
      </w:pPr>
      <w:r w:rsidRPr="001B5DC7">
        <w:rPr>
          <w:rFonts w:asciiTheme="minorHAnsi" w:hAnsiTheme="minorHAnsi"/>
          <w:b/>
          <w:sz w:val="20"/>
          <w:szCs w:val="20"/>
        </w:rPr>
        <w:t>Appendices</w:t>
      </w:r>
    </w:p>
    <w:p w14:paraId="0315F3B1" w14:textId="77777777" w:rsidR="00BF65F7" w:rsidRPr="001B5DC7" w:rsidRDefault="00BF65F7" w:rsidP="00690569">
      <w:pPr>
        <w:pStyle w:val="BlockText"/>
        <w:ind w:left="0"/>
        <w:rPr>
          <w:rFonts w:asciiTheme="minorHAnsi" w:hAnsiTheme="minorHAnsi"/>
          <w:sz w:val="20"/>
          <w:szCs w:val="20"/>
        </w:rPr>
      </w:pPr>
    </w:p>
    <w:p w14:paraId="2425B0FB" w14:textId="7B2EB387" w:rsidR="00BF65F7" w:rsidRPr="001B5DC7" w:rsidRDefault="00BF65F7" w:rsidP="00690569">
      <w:pPr>
        <w:pStyle w:val="BlockText"/>
        <w:ind w:left="0"/>
        <w:rPr>
          <w:rFonts w:asciiTheme="minorHAnsi" w:hAnsiTheme="minorHAnsi"/>
          <w:sz w:val="20"/>
          <w:szCs w:val="20"/>
        </w:rPr>
      </w:pPr>
      <w:r w:rsidRPr="001B5DC7">
        <w:rPr>
          <w:rFonts w:asciiTheme="minorHAnsi" w:hAnsiTheme="minorHAnsi"/>
          <w:sz w:val="20"/>
          <w:szCs w:val="20"/>
        </w:rPr>
        <w:t xml:space="preserve">Appendix A: Student Teaching Evaluation </w:t>
      </w:r>
      <w:r w:rsidR="00735394" w:rsidRPr="001B5DC7">
        <w:rPr>
          <w:rFonts w:asciiTheme="minorHAnsi" w:hAnsiTheme="minorHAnsi"/>
          <w:sz w:val="20"/>
          <w:szCs w:val="20"/>
        </w:rPr>
        <w:t>Instrument</w:t>
      </w:r>
      <w:r w:rsidRPr="001B5DC7">
        <w:rPr>
          <w:rFonts w:asciiTheme="minorHAnsi" w:hAnsiTheme="minorHAnsi"/>
          <w:sz w:val="20"/>
          <w:szCs w:val="20"/>
        </w:rPr>
        <w:t>: Pedagogy</w:t>
      </w:r>
    </w:p>
    <w:p w14:paraId="2F754BE4" w14:textId="04DDDE6D" w:rsidR="00BF65F7" w:rsidRPr="001B5DC7" w:rsidRDefault="00BF65F7" w:rsidP="00BF65F7">
      <w:pPr>
        <w:pStyle w:val="BlockText"/>
        <w:ind w:left="0"/>
        <w:rPr>
          <w:rFonts w:asciiTheme="minorHAnsi" w:hAnsiTheme="minorHAnsi"/>
          <w:sz w:val="20"/>
          <w:szCs w:val="20"/>
        </w:rPr>
      </w:pPr>
      <w:r w:rsidRPr="001B5DC7">
        <w:rPr>
          <w:rFonts w:asciiTheme="minorHAnsi" w:hAnsiTheme="minorHAnsi"/>
          <w:sz w:val="20"/>
          <w:szCs w:val="20"/>
        </w:rPr>
        <w:t xml:space="preserve">Appendix B: Student Teaching Evaluation </w:t>
      </w:r>
      <w:r w:rsidR="00735394" w:rsidRPr="001B5DC7">
        <w:rPr>
          <w:rFonts w:asciiTheme="minorHAnsi" w:hAnsiTheme="minorHAnsi"/>
          <w:sz w:val="20"/>
          <w:szCs w:val="20"/>
        </w:rPr>
        <w:t>Instrument</w:t>
      </w:r>
      <w:r w:rsidRPr="001B5DC7">
        <w:rPr>
          <w:rFonts w:asciiTheme="minorHAnsi" w:hAnsiTheme="minorHAnsi"/>
          <w:sz w:val="20"/>
          <w:szCs w:val="20"/>
        </w:rPr>
        <w:t>: Dispositions</w:t>
      </w:r>
    </w:p>
    <w:p w14:paraId="2BE1C51D" w14:textId="46B6ED21" w:rsidR="00BF65F7" w:rsidRPr="001B5DC7" w:rsidRDefault="00BF65F7" w:rsidP="00BF65F7">
      <w:pPr>
        <w:pStyle w:val="BlockText"/>
        <w:ind w:left="0"/>
        <w:rPr>
          <w:rFonts w:asciiTheme="minorHAnsi" w:hAnsiTheme="minorHAnsi"/>
          <w:sz w:val="20"/>
          <w:szCs w:val="20"/>
        </w:rPr>
      </w:pPr>
      <w:r w:rsidRPr="001B5DC7">
        <w:rPr>
          <w:rFonts w:asciiTheme="minorHAnsi" w:hAnsiTheme="minorHAnsi"/>
          <w:sz w:val="20"/>
          <w:szCs w:val="20"/>
        </w:rPr>
        <w:t xml:space="preserve">Appendix C: Addendum to Student Teaching Evaluation </w:t>
      </w:r>
      <w:r w:rsidR="00735394" w:rsidRPr="001B5DC7">
        <w:rPr>
          <w:rFonts w:asciiTheme="minorHAnsi" w:hAnsiTheme="minorHAnsi"/>
          <w:sz w:val="20"/>
          <w:szCs w:val="20"/>
        </w:rPr>
        <w:t>Instrument</w:t>
      </w:r>
      <w:r w:rsidRPr="001B5DC7">
        <w:rPr>
          <w:rFonts w:asciiTheme="minorHAnsi" w:hAnsiTheme="minorHAnsi"/>
          <w:sz w:val="20"/>
          <w:szCs w:val="20"/>
        </w:rPr>
        <w:t>: Mathematics</w:t>
      </w:r>
    </w:p>
    <w:p w14:paraId="5BBD0E47" w14:textId="040E48F5" w:rsidR="00BF65F7" w:rsidRPr="001B5DC7" w:rsidRDefault="00BF65F7" w:rsidP="00BF65F7">
      <w:pPr>
        <w:pStyle w:val="BlockText"/>
        <w:ind w:left="0"/>
        <w:rPr>
          <w:rFonts w:asciiTheme="minorHAnsi" w:hAnsiTheme="minorHAnsi"/>
          <w:sz w:val="20"/>
          <w:szCs w:val="20"/>
        </w:rPr>
      </w:pPr>
      <w:r w:rsidRPr="001B5DC7">
        <w:rPr>
          <w:rFonts w:asciiTheme="minorHAnsi" w:hAnsiTheme="minorHAnsi"/>
          <w:sz w:val="20"/>
          <w:szCs w:val="20"/>
        </w:rPr>
        <w:t xml:space="preserve">Appendix D: Addendum to Student Teaching Evaluation </w:t>
      </w:r>
      <w:r w:rsidR="00735394" w:rsidRPr="001B5DC7">
        <w:rPr>
          <w:rFonts w:asciiTheme="minorHAnsi" w:hAnsiTheme="minorHAnsi"/>
          <w:sz w:val="20"/>
          <w:szCs w:val="20"/>
        </w:rPr>
        <w:t>Instrument</w:t>
      </w:r>
      <w:r w:rsidRPr="001B5DC7">
        <w:rPr>
          <w:rFonts w:asciiTheme="minorHAnsi" w:hAnsiTheme="minorHAnsi"/>
          <w:sz w:val="20"/>
          <w:szCs w:val="20"/>
        </w:rPr>
        <w:t>: Foreign Language (year 2 in study)</w:t>
      </w:r>
    </w:p>
    <w:p w14:paraId="2179831A" w14:textId="78B4FDD3" w:rsidR="00BF65F7" w:rsidRPr="001B5DC7" w:rsidRDefault="00BF65F7" w:rsidP="00BF65F7">
      <w:pPr>
        <w:pStyle w:val="BlockText"/>
        <w:ind w:left="0"/>
        <w:rPr>
          <w:rFonts w:asciiTheme="minorHAnsi" w:hAnsiTheme="minorHAnsi"/>
          <w:sz w:val="20"/>
          <w:szCs w:val="20"/>
        </w:rPr>
      </w:pPr>
      <w:r w:rsidRPr="001B5DC7">
        <w:rPr>
          <w:rFonts w:asciiTheme="minorHAnsi" w:hAnsiTheme="minorHAnsi"/>
          <w:sz w:val="20"/>
          <w:szCs w:val="20"/>
        </w:rPr>
        <w:t xml:space="preserve">Appendix E: Addendum to Student Teaching Evaluation </w:t>
      </w:r>
      <w:r w:rsidR="00735394" w:rsidRPr="001B5DC7">
        <w:rPr>
          <w:rFonts w:asciiTheme="minorHAnsi" w:hAnsiTheme="minorHAnsi"/>
          <w:sz w:val="20"/>
          <w:szCs w:val="20"/>
        </w:rPr>
        <w:t>Instrument</w:t>
      </w:r>
      <w:r w:rsidRPr="001B5DC7">
        <w:rPr>
          <w:rFonts w:asciiTheme="minorHAnsi" w:hAnsiTheme="minorHAnsi"/>
          <w:sz w:val="20"/>
          <w:szCs w:val="20"/>
        </w:rPr>
        <w:t>: Science (year 2 in study)</w:t>
      </w:r>
    </w:p>
    <w:p w14:paraId="7948740C" w14:textId="32FDCD00" w:rsidR="00C2795A" w:rsidRPr="001B5DC7" w:rsidRDefault="00BF65F7" w:rsidP="00690569">
      <w:pPr>
        <w:pStyle w:val="BlockText"/>
        <w:ind w:left="0"/>
        <w:rPr>
          <w:rFonts w:asciiTheme="minorHAnsi" w:hAnsiTheme="minorHAnsi"/>
          <w:b/>
          <w:sz w:val="20"/>
          <w:szCs w:val="20"/>
        </w:rPr>
      </w:pPr>
      <w:r w:rsidRPr="001B5DC7">
        <w:rPr>
          <w:rFonts w:asciiTheme="minorHAnsi" w:hAnsiTheme="minorHAnsi"/>
          <w:sz w:val="20"/>
          <w:szCs w:val="20"/>
        </w:rPr>
        <w:t>Appendix F: VARI-E</w:t>
      </w:r>
      <w:r w:rsidR="004E289C" w:rsidRPr="001B5DC7">
        <w:rPr>
          <w:rFonts w:asciiTheme="minorHAnsi" w:hAnsiTheme="minorHAnsi"/>
          <w:sz w:val="20"/>
          <w:szCs w:val="20"/>
        </w:rPr>
        <w:t xml:space="preserve">P Validity of Instrument Rubric </w:t>
      </w:r>
    </w:p>
    <w:sectPr w:rsidR="00C2795A" w:rsidRPr="001B5DC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D64C6" w14:textId="77777777" w:rsidR="003003F8" w:rsidRDefault="003003F8">
      <w:r>
        <w:separator/>
      </w:r>
    </w:p>
  </w:endnote>
  <w:endnote w:type="continuationSeparator" w:id="0">
    <w:p w14:paraId="29D32B26" w14:textId="77777777" w:rsidR="003003F8" w:rsidRDefault="0030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7199D" w14:textId="613F1519" w:rsidR="0062101E" w:rsidRDefault="0062101E">
    <w:pPr>
      <w:pStyle w:val="Footer"/>
      <w:ind w:left="-360"/>
      <w:jc w:val="both"/>
      <w:rPr>
        <w:sz w:val="20"/>
        <w:szCs w:val="20"/>
      </w:rPr>
    </w:pPr>
    <w:r>
      <w:rPr>
        <w:sz w:val="20"/>
        <w:szCs w:val="20"/>
      </w:rPr>
      <w:t>2/16/2006</w:t>
    </w:r>
    <w:r w:rsidR="00C2795A">
      <w:rPr>
        <w:sz w:val="20"/>
        <w:szCs w:val="20"/>
      </w:rPr>
      <w:tab/>
    </w:r>
    <w:r w:rsidR="00C2795A" w:rsidRPr="00C2795A">
      <w:rPr>
        <w:sz w:val="20"/>
        <w:szCs w:val="20"/>
      </w:rPr>
      <w:fldChar w:fldCharType="begin"/>
    </w:r>
    <w:r w:rsidR="00C2795A" w:rsidRPr="00C2795A">
      <w:rPr>
        <w:sz w:val="20"/>
        <w:szCs w:val="20"/>
      </w:rPr>
      <w:instrText xml:space="preserve"> PAGE   \* MERGEFORMAT </w:instrText>
    </w:r>
    <w:r w:rsidR="00C2795A" w:rsidRPr="00C2795A">
      <w:rPr>
        <w:sz w:val="20"/>
        <w:szCs w:val="20"/>
      </w:rPr>
      <w:fldChar w:fldCharType="separate"/>
    </w:r>
    <w:r w:rsidR="008F613D">
      <w:rPr>
        <w:noProof/>
        <w:sz w:val="20"/>
        <w:szCs w:val="20"/>
      </w:rPr>
      <w:t>1</w:t>
    </w:r>
    <w:r w:rsidR="00C2795A" w:rsidRPr="00C2795A">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6E312" w14:textId="77777777" w:rsidR="003003F8" w:rsidRDefault="003003F8">
      <w:r>
        <w:separator/>
      </w:r>
    </w:p>
  </w:footnote>
  <w:footnote w:type="continuationSeparator" w:id="0">
    <w:p w14:paraId="1367A8EB" w14:textId="77777777" w:rsidR="003003F8" w:rsidRDefault="00300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252" w:type="dxa"/>
      <w:tblBorders>
        <w:bottom w:val="single" w:sz="4" w:space="0" w:color="auto"/>
      </w:tblBorders>
      <w:tblLook w:val="0000" w:firstRow="0" w:lastRow="0" w:firstColumn="0" w:lastColumn="0" w:noHBand="0" w:noVBand="0"/>
    </w:tblPr>
    <w:tblGrid>
      <w:gridCol w:w="4680"/>
      <w:gridCol w:w="5400"/>
    </w:tblGrid>
    <w:tr w:rsidR="0062101E" w14:paraId="7BC3E5E2" w14:textId="77777777">
      <w:tc>
        <w:tcPr>
          <w:tcW w:w="4680" w:type="dxa"/>
        </w:tcPr>
        <w:p w14:paraId="3DA81EFF" w14:textId="77777777" w:rsidR="0062101E" w:rsidRDefault="0062101E">
          <w:pPr>
            <w:pStyle w:val="Header"/>
            <w:rPr>
              <w:sz w:val="18"/>
            </w:rPr>
          </w:pPr>
          <w:r>
            <w:rPr>
              <w:sz w:val="18"/>
            </w:rPr>
            <w:t>THE OHIO STATE UNIVERSITY</w:t>
          </w:r>
        </w:p>
      </w:tc>
      <w:tc>
        <w:tcPr>
          <w:tcW w:w="5400" w:type="dxa"/>
        </w:tcPr>
        <w:p w14:paraId="75BA00F6" w14:textId="77777777" w:rsidR="0062101E" w:rsidRDefault="0062101E">
          <w:pPr>
            <w:pStyle w:val="Header"/>
            <w:jc w:val="right"/>
            <w:rPr>
              <w:sz w:val="18"/>
            </w:rPr>
          </w:pPr>
          <w:r>
            <w:rPr>
              <w:sz w:val="18"/>
            </w:rPr>
            <w:t>Institutional Review Board</w:t>
          </w:r>
        </w:p>
      </w:tc>
    </w:tr>
  </w:tbl>
  <w:p w14:paraId="25570D82" w14:textId="77777777" w:rsidR="0062101E" w:rsidRDefault="006210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96B1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111D9F"/>
    <w:multiLevelType w:val="multilevel"/>
    <w:tmpl w:val="E03ABE5C"/>
    <w:lvl w:ilvl="0">
      <w:start w:val="1"/>
      <w:numFmt w:val="upperRoman"/>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92"/>
        </w:tabs>
        <w:ind w:left="792" w:hanging="432"/>
      </w:pPr>
      <w:rPr>
        <w:rFonts w:hint="default"/>
        <w:b w:val="0"/>
      </w:rPr>
    </w:lvl>
    <w:lvl w:ilvl="4">
      <w:start w:val="1"/>
      <w:numFmt w:val="upperLetter"/>
      <w:lvlText w:val="%5."/>
      <w:lvlJc w:val="left"/>
      <w:pPr>
        <w:tabs>
          <w:tab w:val="num" w:pos="3600"/>
        </w:tabs>
        <w:ind w:left="3600" w:hanging="360"/>
      </w:pPr>
      <w:rPr>
        <w:rFonts w:hint="default"/>
        <w:color w:val="FF000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707F5A"/>
    <w:multiLevelType w:val="multilevel"/>
    <w:tmpl w:val="0A28FBEC"/>
    <w:lvl w:ilvl="0">
      <w:start w:val="1"/>
      <w:numFmt w:val="upperRoman"/>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060"/>
        </w:tabs>
        <w:ind w:left="3060" w:hanging="360"/>
      </w:pPr>
      <w:rPr>
        <w:rFonts w:hint="default"/>
        <w:b w:val="0"/>
      </w:rPr>
    </w:lvl>
    <w:lvl w:ilvl="4">
      <w:start w:val="1"/>
      <w:numFmt w:val="upperLetter"/>
      <w:lvlText w:val="%5."/>
      <w:lvlJc w:val="left"/>
      <w:pPr>
        <w:tabs>
          <w:tab w:val="num" w:pos="3600"/>
        </w:tabs>
        <w:ind w:left="3600" w:hanging="360"/>
      </w:pPr>
      <w:rPr>
        <w:rFonts w:hint="default"/>
        <w:color w:val="FF000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464558"/>
    <w:multiLevelType w:val="multilevel"/>
    <w:tmpl w:val="8AF8E33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EE1116B"/>
    <w:multiLevelType w:val="multilevel"/>
    <w:tmpl w:val="80E0A11E"/>
    <w:lvl w:ilvl="0">
      <w:start w:val="1"/>
      <w:numFmt w:val="upperRoman"/>
      <w:pStyle w:val="Heading1"/>
      <w:lvlText w:val="%1."/>
      <w:lvlJc w:val="left"/>
      <w:pPr>
        <w:tabs>
          <w:tab w:val="num" w:pos="0"/>
        </w:tabs>
        <w:ind w:left="360" w:hanging="360"/>
      </w:pPr>
      <w:rPr>
        <w:rFonts w:hint="default"/>
      </w:rPr>
    </w:lvl>
    <w:lvl w:ilvl="1">
      <w:start w:val="1"/>
      <w:numFmt w:val="upperLetter"/>
      <w:pStyle w:val="Heading2"/>
      <w:lvlText w:val="%2."/>
      <w:lvlJc w:val="left"/>
      <w:pPr>
        <w:tabs>
          <w:tab w:val="num" w:pos="432"/>
        </w:tabs>
        <w:ind w:left="1368" w:hanging="936"/>
      </w:pPr>
      <w:rPr>
        <w:rFonts w:hint="default"/>
      </w:rPr>
    </w:lvl>
    <w:lvl w:ilvl="2">
      <w:start w:val="1"/>
      <w:numFmt w:val="upperLetter"/>
      <w:pStyle w:val="Heading3"/>
      <w:lvlText w:val="%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227E7253"/>
    <w:multiLevelType w:val="hybridMultilevel"/>
    <w:tmpl w:val="DC9256B8"/>
    <w:lvl w:ilvl="0" w:tplc="3A402BF8">
      <w:start w:val="1"/>
      <w:numFmt w:val="upperRoman"/>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BCAC368">
      <w:start w:val="1"/>
      <w:numFmt w:val="decimal"/>
      <w:lvlText w:val="%4."/>
      <w:lvlJc w:val="left"/>
      <w:pPr>
        <w:tabs>
          <w:tab w:val="num" w:pos="792"/>
        </w:tabs>
        <w:ind w:left="792" w:hanging="432"/>
      </w:pPr>
      <w:rPr>
        <w:rFonts w:hint="default"/>
        <w:b w:val="0"/>
      </w:rPr>
    </w:lvl>
    <w:lvl w:ilvl="4" w:tplc="7D828C76">
      <w:start w:val="1"/>
      <w:numFmt w:val="upperLetter"/>
      <w:lvlText w:val="%5."/>
      <w:lvlJc w:val="left"/>
      <w:pPr>
        <w:tabs>
          <w:tab w:val="num" w:pos="3600"/>
        </w:tabs>
        <w:ind w:left="3600" w:hanging="360"/>
      </w:pPr>
      <w:rPr>
        <w:rFonts w:hint="default"/>
        <w:color w:val="FF000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362C06"/>
    <w:multiLevelType w:val="hybridMultilevel"/>
    <w:tmpl w:val="5CA00094"/>
    <w:lvl w:ilvl="0" w:tplc="656C46B8">
      <w:start w:val="1"/>
      <w:numFmt w:val="upperLetter"/>
      <w:lvlText w:val="%1."/>
      <w:lvlJc w:val="left"/>
      <w:pPr>
        <w:tabs>
          <w:tab w:val="num" w:pos="792"/>
        </w:tabs>
        <w:ind w:left="792"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187D1B"/>
    <w:multiLevelType w:val="hybridMultilevel"/>
    <w:tmpl w:val="8AF8E336"/>
    <w:lvl w:ilvl="0" w:tplc="08CAB026">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C722FB0"/>
    <w:multiLevelType w:val="hybridMultilevel"/>
    <w:tmpl w:val="724C7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54E86"/>
    <w:multiLevelType w:val="hybridMultilevel"/>
    <w:tmpl w:val="5900D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C847F5"/>
    <w:multiLevelType w:val="multilevel"/>
    <w:tmpl w:val="78BE9A26"/>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576"/>
        </w:tabs>
        <w:ind w:left="1944" w:hanging="1080"/>
      </w:pPr>
      <w:rPr>
        <w:rFonts w:hint="default"/>
      </w:rPr>
    </w:lvl>
    <w:lvl w:ilvl="2">
      <w:start w:val="1"/>
      <w:numFmt w:val="upperLetter"/>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41DA0DDE"/>
    <w:multiLevelType w:val="multilevel"/>
    <w:tmpl w:val="0562E140"/>
    <w:lvl w:ilvl="0">
      <w:start w:val="1"/>
      <w:numFmt w:val="upperRoman"/>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5D54FD8"/>
    <w:multiLevelType w:val="multilevel"/>
    <w:tmpl w:val="A66021AE"/>
    <w:lvl w:ilvl="0">
      <w:start w:val="1"/>
      <w:numFmt w:val="upperRoman"/>
      <w:lvlText w:val="%1."/>
      <w:lvlJc w:val="left"/>
      <w:pPr>
        <w:tabs>
          <w:tab w:val="num" w:pos="0"/>
        </w:tabs>
        <w:ind w:left="360" w:hanging="360"/>
      </w:pPr>
      <w:rPr>
        <w:rFonts w:hint="default"/>
      </w:rPr>
    </w:lvl>
    <w:lvl w:ilvl="1">
      <w:start w:val="1"/>
      <w:numFmt w:val="upperLetter"/>
      <w:lvlText w:val="%2."/>
      <w:lvlJc w:val="left"/>
      <w:pPr>
        <w:tabs>
          <w:tab w:val="num" w:pos="576"/>
        </w:tabs>
        <w:ind w:left="1944" w:hanging="1080"/>
      </w:pPr>
      <w:rPr>
        <w:rFonts w:hint="default"/>
      </w:rPr>
    </w:lvl>
    <w:lvl w:ilvl="2">
      <w:start w:val="1"/>
      <w:numFmt w:val="upperLetter"/>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F2A38BC"/>
    <w:multiLevelType w:val="multilevel"/>
    <w:tmpl w:val="7B9441D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52A26A97"/>
    <w:multiLevelType w:val="hybridMultilevel"/>
    <w:tmpl w:val="CF8813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5"/>
  </w:num>
  <w:num w:numId="3">
    <w:abstractNumId w:val="11"/>
  </w:num>
  <w:num w:numId="4">
    <w:abstractNumId w:val="7"/>
  </w:num>
  <w:num w:numId="5">
    <w:abstractNumId w:val="13"/>
  </w:num>
  <w:num w:numId="6">
    <w:abstractNumId w:val="3"/>
  </w:num>
  <w:num w:numId="7">
    <w:abstractNumId w:val="6"/>
  </w:num>
  <w:num w:numId="8">
    <w:abstractNumId w:val="2"/>
  </w:num>
  <w:num w:numId="9">
    <w:abstractNumId w:val="1"/>
  </w:num>
  <w:num w:numId="10">
    <w:abstractNumId w:val="4"/>
  </w:num>
  <w:num w:numId="11">
    <w:abstractNumId w:val="10"/>
  </w:num>
  <w:num w:numId="12">
    <w:abstractNumId w:val="12"/>
  </w:num>
  <w:num w:numId="13">
    <w:abstractNumId w:val="8"/>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88"/>
    <w:rsid w:val="00004D23"/>
    <w:rsid w:val="00011C0A"/>
    <w:rsid w:val="00024F44"/>
    <w:rsid w:val="00037240"/>
    <w:rsid w:val="00053B1E"/>
    <w:rsid w:val="00070B00"/>
    <w:rsid w:val="00077C33"/>
    <w:rsid w:val="00083E59"/>
    <w:rsid w:val="000A11D0"/>
    <w:rsid w:val="000B768C"/>
    <w:rsid w:val="000D1CF6"/>
    <w:rsid w:val="000E3997"/>
    <w:rsid w:val="000E48B9"/>
    <w:rsid w:val="000F2312"/>
    <w:rsid w:val="00105F10"/>
    <w:rsid w:val="00106037"/>
    <w:rsid w:val="001225BE"/>
    <w:rsid w:val="001245AC"/>
    <w:rsid w:val="00146BD8"/>
    <w:rsid w:val="0015744D"/>
    <w:rsid w:val="00173143"/>
    <w:rsid w:val="00177B25"/>
    <w:rsid w:val="001B5DC7"/>
    <w:rsid w:val="001D22B8"/>
    <w:rsid w:val="00200A89"/>
    <w:rsid w:val="00227479"/>
    <w:rsid w:val="00227545"/>
    <w:rsid w:val="00230E2B"/>
    <w:rsid w:val="002639CF"/>
    <w:rsid w:val="0028761F"/>
    <w:rsid w:val="002A09CC"/>
    <w:rsid w:val="002B1405"/>
    <w:rsid w:val="002B17A2"/>
    <w:rsid w:val="002D0A76"/>
    <w:rsid w:val="002D325E"/>
    <w:rsid w:val="002F0674"/>
    <w:rsid w:val="002F740C"/>
    <w:rsid w:val="003003F8"/>
    <w:rsid w:val="00311B8E"/>
    <w:rsid w:val="0031521A"/>
    <w:rsid w:val="00321F90"/>
    <w:rsid w:val="00340BFF"/>
    <w:rsid w:val="0038003A"/>
    <w:rsid w:val="003913C5"/>
    <w:rsid w:val="003A4EB4"/>
    <w:rsid w:val="003A57AB"/>
    <w:rsid w:val="003C041B"/>
    <w:rsid w:val="003D601B"/>
    <w:rsid w:val="003E2DC7"/>
    <w:rsid w:val="003F43DB"/>
    <w:rsid w:val="003F4981"/>
    <w:rsid w:val="004033A8"/>
    <w:rsid w:val="004179E8"/>
    <w:rsid w:val="00483D4F"/>
    <w:rsid w:val="004A3663"/>
    <w:rsid w:val="004B70B9"/>
    <w:rsid w:val="004C6B80"/>
    <w:rsid w:val="004D269B"/>
    <w:rsid w:val="004D6BED"/>
    <w:rsid w:val="004E289C"/>
    <w:rsid w:val="004F14E7"/>
    <w:rsid w:val="005039B7"/>
    <w:rsid w:val="005067BC"/>
    <w:rsid w:val="00524497"/>
    <w:rsid w:val="005826CA"/>
    <w:rsid w:val="00593606"/>
    <w:rsid w:val="005A6434"/>
    <w:rsid w:val="005C41BE"/>
    <w:rsid w:val="00602F44"/>
    <w:rsid w:val="006035A0"/>
    <w:rsid w:val="00611F79"/>
    <w:rsid w:val="00613198"/>
    <w:rsid w:val="0062101E"/>
    <w:rsid w:val="00636F76"/>
    <w:rsid w:val="00637885"/>
    <w:rsid w:val="00645213"/>
    <w:rsid w:val="006548BA"/>
    <w:rsid w:val="00657882"/>
    <w:rsid w:val="0066299D"/>
    <w:rsid w:val="0066339B"/>
    <w:rsid w:val="00667014"/>
    <w:rsid w:val="0067385B"/>
    <w:rsid w:val="00690569"/>
    <w:rsid w:val="006927F8"/>
    <w:rsid w:val="00693DE4"/>
    <w:rsid w:val="006B0D7D"/>
    <w:rsid w:val="006D1AA8"/>
    <w:rsid w:val="006D767D"/>
    <w:rsid w:val="006E3248"/>
    <w:rsid w:val="006F0B44"/>
    <w:rsid w:val="00704088"/>
    <w:rsid w:val="00706115"/>
    <w:rsid w:val="007129A7"/>
    <w:rsid w:val="00712FA3"/>
    <w:rsid w:val="00733AD3"/>
    <w:rsid w:val="00735394"/>
    <w:rsid w:val="00742A5D"/>
    <w:rsid w:val="00746D81"/>
    <w:rsid w:val="00747814"/>
    <w:rsid w:val="00755BD8"/>
    <w:rsid w:val="00756A4B"/>
    <w:rsid w:val="00761FAD"/>
    <w:rsid w:val="007724F0"/>
    <w:rsid w:val="00775137"/>
    <w:rsid w:val="00787622"/>
    <w:rsid w:val="00796F95"/>
    <w:rsid w:val="007A2D8D"/>
    <w:rsid w:val="007B1B0E"/>
    <w:rsid w:val="007B1FAC"/>
    <w:rsid w:val="007C0431"/>
    <w:rsid w:val="007D25F4"/>
    <w:rsid w:val="007D2E4C"/>
    <w:rsid w:val="007D415D"/>
    <w:rsid w:val="007D6B66"/>
    <w:rsid w:val="0080332A"/>
    <w:rsid w:val="0081329E"/>
    <w:rsid w:val="00814083"/>
    <w:rsid w:val="00826F61"/>
    <w:rsid w:val="00847B2B"/>
    <w:rsid w:val="00883597"/>
    <w:rsid w:val="008863EC"/>
    <w:rsid w:val="00894854"/>
    <w:rsid w:val="008973FC"/>
    <w:rsid w:val="008A189D"/>
    <w:rsid w:val="008A2E85"/>
    <w:rsid w:val="008B52F5"/>
    <w:rsid w:val="008D13FD"/>
    <w:rsid w:val="008D536F"/>
    <w:rsid w:val="008D67AA"/>
    <w:rsid w:val="008E48FE"/>
    <w:rsid w:val="008E5337"/>
    <w:rsid w:val="008E7D80"/>
    <w:rsid w:val="008F613D"/>
    <w:rsid w:val="009557D6"/>
    <w:rsid w:val="00963ACB"/>
    <w:rsid w:val="00965109"/>
    <w:rsid w:val="009A1D40"/>
    <w:rsid w:val="009A1D71"/>
    <w:rsid w:val="009D474E"/>
    <w:rsid w:val="009F18C0"/>
    <w:rsid w:val="009F7397"/>
    <w:rsid w:val="00A264BF"/>
    <w:rsid w:val="00A6350A"/>
    <w:rsid w:val="00A67D15"/>
    <w:rsid w:val="00AB489B"/>
    <w:rsid w:val="00AC5752"/>
    <w:rsid w:val="00AE23C8"/>
    <w:rsid w:val="00AE3E7A"/>
    <w:rsid w:val="00B02199"/>
    <w:rsid w:val="00B0300C"/>
    <w:rsid w:val="00B17BC7"/>
    <w:rsid w:val="00B2007C"/>
    <w:rsid w:val="00B229BE"/>
    <w:rsid w:val="00B242AA"/>
    <w:rsid w:val="00B80687"/>
    <w:rsid w:val="00B834B1"/>
    <w:rsid w:val="00B92A72"/>
    <w:rsid w:val="00B955B6"/>
    <w:rsid w:val="00BA165F"/>
    <w:rsid w:val="00BC20AB"/>
    <w:rsid w:val="00BD34BB"/>
    <w:rsid w:val="00BE3D14"/>
    <w:rsid w:val="00BE4AB0"/>
    <w:rsid w:val="00BE75DD"/>
    <w:rsid w:val="00BF65F7"/>
    <w:rsid w:val="00C0393F"/>
    <w:rsid w:val="00C1355B"/>
    <w:rsid w:val="00C2795A"/>
    <w:rsid w:val="00C37B18"/>
    <w:rsid w:val="00C55090"/>
    <w:rsid w:val="00C565D3"/>
    <w:rsid w:val="00C64266"/>
    <w:rsid w:val="00C66526"/>
    <w:rsid w:val="00C80B48"/>
    <w:rsid w:val="00C82726"/>
    <w:rsid w:val="00CA4A46"/>
    <w:rsid w:val="00CB7385"/>
    <w:rsid w:val="00CC7A40"/>
    <w:rsid w:val="00CD55B2"/>
    <w:rsid w:val="00D0591F"/>
    <w:rsid w:val="00D137B5"/>
    <w:rsid w:val="00D439B8"/>
    <w:rsid w:val="00D45DAD"/>
    <w:rsid w:val="00D62664"/>
    <w:rsid w:val="00D64A88"/>
    <w:rsid w:val="00D65282"/>
    <w:rsid w:val="00DA2809"/>
    <w:rsid w:val="00DB242A"/>
    <w:rsid w:val="00DB6B7E"/>
    <w:rsid w:val="00DC1CA7"/>
    <w:rsid w:val="00DD2E77"/>
    <w:rsid w:val="00DD5EE7"/>
    <w:rsid w:val="00DE6067"/>
    <w:rsid w:val="00DF4221"/>
    <w:rsid w:val="00E0305F"/>
    <w:rsid w:val="00E040DB"/>
    <w:rsid w:val="00E36EAC"/>
    <w:rsid w:val="00E57E3A"/>
    <w:rsid w:val="00E6364B"/>
    <w:rsid w:val="00E74459"/>
    <w:rsid w:val="00EB50CF"/>
    <w:rsid w:val="00ED53B4"/>
    <w:rsid w:val="00EF0197"/>
    <w:rsid w:val="00F03FD4"/>
    <w:rsid w:val="00F12360"/>
    <w:rsid w:val="00F17AC6"/>
    <w:rsid w:val="00F20D46"/>
    <w:rsid w:val="00F35F9D"/>
    <w:rsid w:val="00F4614E"/>
    <w:rsid w:val="00F476FC"/>
    <w:rsid w:val="00F52612"/>
    <w:rsid w:val="00F60FD8"/>
    <w:rsid w:val="00F71163"/>
    <w:rsid w:val="00F87E70"/>
    <w:rsid w:val="00F905F7"/>
    <w:rsid w:val="00FE220D"/>
    <w:rsid w:val="00FE6F0A"/>
    <w:rsid w:val="00FF3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BD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10"/>
      </w:numPr>
      <w:ind w:right="-360"/>
      <w:outlineLvl w:val="0"/>
    </w:pPr>
    <w:rPr>
      <w:b/>
      <w:bCs/>
      <w:sz w:val="22"/>
      <w:szCs w:val="22"/>
    </w:rPr>
  </w:style>
  <w:style w:type="paragraph" w:styleId="Heading2">
    <w:name w:val="heading 2"/>
    <w:basedOn w:val="Normal"/>
    <w:next w:val="Normal"/>
    <w:qFormat/>
    <w:pPr>
      <w:keepNext/>
      <w:numPr>
        <w:ilvl w:val="1"/>
        <w:numId w:val="10"/>
      </w:numPr>
      <w:ind w:right="-360"/>
      <w:outlineLvl w:val="1"/>
    </w:pPr>
    <w:rPr>
      <w:b/>
      <w:sz w:val="22"/>
      <w:szCs w:val="22"/>
    </w:rPr>
  </w:style>
  <w:style w:type="paragraph" w:styleId="Heading3">
    <w:name w:val="heading 3"/>
    <w:basedOn w:val="Normal"/>
    <w:next w:val="Normal"/>
    <w:qFormat/>
    <w:rsid w:val="00B834B1"/>
    <w:pPr>
      <w:keepNext/>
      <w:numPr>
        <w:ilvl w:val="2"/>
        <w:numId w:val="10"/>
      </w:numPr>
      <w:spacing w:before="240" w:after="60"/>
      <w:outlineLvl w:val="2"/>
    </w:pPr>
    <w:rPr>
      <w:rFonts w:ascii="Arial" w:hAnsi="Arial" w:cs="Arial"/>
      <w:b/>
      <w:bCs/>
      <w:sz w:val="26"/>
      <w:szCs w:val="26"/>
    </w:rPr>
  </w:style>
  <w:style w:type="paragraph" w:styleId="Heading4">
    <w:name w:val="heading 4"/>
    <w:basedOn w:val="Normal"/>
    <w:next w:val="Normal"/>
    <w:qFormat/>
    <w:rsid w:val="00B834B1"/>
    <w:pPr>
      <w:keepNext/>
      <w:numPr>
        <w:ilvl w:val="3"/>
        <w:numId w:val="10"/>
      </w:numPr>
      <w:spacing w:before="240" w:after="60"/>
      <w:outlineLvl w:val="3"/>
    </w:pPr>
    <w:rPr>
      <w:b/>
      <w:bCs/>
      <w:sz w:val="28"/>
      <w:szCs w:val="28"/>
    </w:rPr>
  </w:style>
  <w:style w:type="paragraph" w:styleId="Heading5">
    <w:name w:val="heading 5"/>
    <w:basedOn w:val="Normal"/>
    <w:next w:val="Normal"/>
    <w:qFormat/>
    <w:rsid w:val="00B834B1"/>
    <w:pPr>
      <w:numPr>
        <w:ilvl w:val="4"/>
        <w:numId w:val="10"/>
      </w:numPr>
      <w:spacing w:before="240" w:after="60"/>
      <w:outlineLvl w:val="4"/>
    </w:pPr>
    <w:rPr>
      <w:b/>
      <w:bCs/>
      <w:i/>
      <w:iCs/>
      <w:sz w:val="26"/>
      <w:szCs w:val="26"/>
    </w:rPr>
  </w:style>
  <w:style w:type="paragraph" w:styleId="Heading6">
    <w:name w:val="heading 6"/>
    <w:basedOn w:val="Normal"/>
    <w:next w:val="Normal"/>
    <w:qFormat/>
    <w:rsid w:val="00B834B1"/>
    <w:pPr>
      <w:numPr>
        <w:ilvl w:val="5"/>
        <w:numId w:val="10"/>
      </w:numPr>
      <w:spacing w:before="240" w:after="60"/>
      <w:outlineLvl w:val="5"/>
    </w:pPr>
    <w:rPr>
      <w:b/>
      <w:bCs/>
      <w:sz w:val="22"/>
      <w:szCs w:val="22"/>
    </w:rPr>
  </w:style>
  <w:style w:type="paragraph" w:styleId="Heading7">
    <w:name w:val="heading 7"/>
    <w:basedOn w:val="Normal"/>
    <w:next w:val="Normal"/>
    <w:qFormat/>
    <w:rsid w:val="00B834B1"/>
    <w:pPr>
      <w:numPr>
        <w:ilvl w:val="6"/>
        <w:numId w:val="10"/>
      </w:numPr>
      <w:spacing w:before="240" w:after="60"/>
      <w:outlineLvl w:val="6"/>
    </w:pPr>
  </w:style>
  <w:style w:type="paragraph" w:styleId="Heading8">
    <w:name w:val="heading 8"/>
    <w:basedOn w:val="Normal"/>
    <w:next w:val="Normal"/>
    <w:qFormat/>
    <w:rsid w:val="00B834B1"/>
    <w:pPr>
      <w:numPr>
        <w:ilvl w:val="7"/>
        <w:numId w:val="10"/>
      </w:numPr>
      <w:spacing w:before="240" w:after="60"/>
      <w:outlineLvl w:val="7"/>
    </w:pPr>
    <w:rPr>
      <w:i/>
      <w:iCs/>
    </w:rPr>
  </w:style>
  <w:style w:type="paragraph" w:styleId="Heading9">
    <w:name w:val="heading 9"/>
    <w:basedOn w:val="Normal"/>
    <w:next w:val="Normal"/>
    <w:qFormat/>
    <w:rsid w:val="00B834B1"/>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360" w:right="-360"/>
    </w:pPr>
    <w:rPr>
      <w:sz w:val="22"/>
      <w:szCs w:val="22"/>
    </w:rPr>
  </w:style>
  <w:style w:type="paragraph" w:styleId="Title">
    <w:name w:val="Title"/>
    <w:basedOn w:val="Normal"/>
    <w:qFormat/>
    <w:pPr>
      <w:ind w:left="-360" w:right="-360"/>
      <w:jc w:val="center"/>
    </w:pPr>
    <w:rPr>
      <w:b/>
    </w:rPr>
  </w:style>
  <w:style w:type="paragraph" w:customStyle="1" w:styleId="MediumGrid1-Accent21">
    <w:name w:val="Medium Grid 1 - Accent 21"/>
    <w:basedOn w:val="Normal"/>
    <w:uiPriority w:val="34"/>
    <w:qFormat/>
    <w:rsid w:val="00AB489B"/>
    <w:pPr>
      <w:ind w:left="720"/>
      <w:contextualSpacing/>
    </w:pPr>
    <w:rPr>
      <w:rFonts w:ascii="Cambria" w:eastAsia="MS Mincho" w:hAnsi="Cambria"/>
    </w:rPr>
  </w:style>
  <w:style w:type="character" w:styleId="CommentReference">
    <w:name w:val="annotation reference"/>
    <w:rsid w:val="00AC5752"/>
    <w:rPr>
      <w:sz w:val="16"/>
      <w:szCs w:val="16"/>
    </w:rPr>
  </w:style>
  <w:style w:type="paragraph" w:styleId="CommentText">
    <w:name w:val="annotation text"/>
    <w:basedOn w:val="Normal"/>
    <w:link w:val="CommentTextChar"/>
    <w:rsid w:val="00AC5752"/>
    <w:rPr>
      <w:sz w:val="20"/>
      <w:szCs w:val="20"/>
    </w:rPr>
  </w:style>
  <w:style w:type="character" w:customStyle="1" w:styleId="CommentTextChar">
    <w:name w:val="Comment Text Char"/>
    <w:basedOn w:val="DefaultParagraphFont"/>
    <w:link w:val="CommentText"/>
    <w:rsid w:val="00AC5752"/>
  </w:style>
  <w:style w:type="paragraph" w:styleId="CommentSubject">
    <w:name w:val="annotation subject"/>
    <w:basedOn w:val="CommentText"/>
    <w:next w:val="CommentText"/>
    <w:link w:val="CommentSubjectChar"/>
    <w:rsid w:val="00AC5752"/>
    <w:rPr>
      <w:b/>
      <w:bCs/>
    </w:rPr>
  </w:style>
  <w:style w:type="character" w:customStyle="1" w:styleId="CommentSubjectChar">
    <w:name w:val="Comment Subject Char"/>
    <w:link w:val="CommentSubject"/>
    <w:rsid w:val="00AC57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10"/>
      </w:numPr>
      <w:ind w:right="-360"/>
      <w:outlineLvl w:val="0"/>
    </w:pPr>
    <w:rPr>
      <w:b/>
      <w:bCs/>
      <w:sz w:val="22"/>
      <w:szCs w:val="22"/>
    </w:rPr>
  </w:style>
  <w:style w:type="paragraph" w:styleId="Heading2">
    <w:name w:val="heading 2"/>
    <w:basedOn w:val="Normal"/>
    <w:next w:val="Normal"/>
    <w:qFormat/>
    <w:pPr>
      <w:keepNext/>
      <w:numPr>
        <w:ilvl w:val="1"/>
        <w:numId w:val="10"/>
      </w:numPr>
      <w:ind w:right="-360"/>
      <w:outlineLvl w:val="1"/>
    </w:pPr>
    <w:rPr>
      <w:b/>
      <w:sz w:val="22"/>
      <w:szCs w:val="22"/>
    </w:rPr>
  </w:style>
  <w:style w:type="paragraph" w:styleId="Heading3">
    <w:name w:val="heading 3"/>
    <w:basedOn w:val="Normal"/>
    <w:next w:val="Normal"/>
    <w:qFormat/>
    <w:rsid w:val="00B834B1"/>
    <w:pPr>
      <w:keepNext/>
      <w:numPr>
        <w:ilvl w:val="2"/>
        <w:numId w:val="10"/>
      </w:numPr>
      <w:spacing w:before="240" w:after="60"/>
      <w:outlineLvl w:val="2"/>
    </w:pPr>
    <w:rPr>
      <w:rFonts w:ascii="Arial" w:hAnsi="Arial" w:cs="Arial"/>
      <w:b/>
      <w:bCs/>
      <w:sz w:val="26"/>
      <w:szCs w:val="26"/>
    </w:rPr>
  </w:style>
  <w:style w:type="paragraph" w:styleId="Heading4">
    <w:name w:val="heading 4"/>
    <w:basedOn w:val="Normal"/>
    <w:next w:val="Normal"/>
    <w:qFormat/>
    <w:rsid w:val="00B834B1"/>
    <w:pPr>
      <w:keepNext/>
      <w:numPr>
        <w:ilvl w:val="3"/>
        <w:numId w:val="10"/>
      </w:numPr>
      <w:spacing w:before="240" w:after="60"/>
      <w:outlineLvl w:val="3"/>
    </w:pPr>
    <w:rPr>
      <w:b/>
      <w:bCs/>
      <w:sz w:val="28"/>
      <w:szCs w:val="28"/>
    </w:rPr>
  </w:style>
  <w:style w:type="paragraph" w:styleId="Heading5">
    <w:name w:val="heading 5"/>
    <w:basedOn w:val="Normal"/>
    <w:next w:val="Normal"/>
    <w:qFormat/>
    <w:rsid w:val="00B834B1"/>
    <w:pPr>
      <w:numPr>
        <w:ilvl w:val="4"/>
        <w:numId w:val="10"/>
      </w:numPr>
      <w:spacing w:before="240" w:after="60"/>
      <w:outlineLvl w:val="4"/>
    </w:pPr>
    <w:rPr>
      <w:b/>
      <w:bCs/>
      <w:i/>
      <w:iCs/>
      <w:sz w:val="26"/>
      <w:szCs w:val="26"/>
    </w:rPr>
  </w:style>
  <w:style w:type="paragraph" w:styleId="Heading6">
    <w:name w:val="heading 6"/>
    <w:basedOn w:val="Normal"/>
    <w:next w:val="Normal"/>
    <w:qFormat/>
    <w:rsid w:val="00B834B1"/>
    <w:pPr>
      <w:numPr>
        <w:ilvl w:val="5"/>
        <w:numId w:val="10"/>
      </w:numPr>
      <w:spacing w:before="240" w:after="60"/>
      <w:outlineLvl w:val="5"/>
    </w:pPr>
    <w:rPr>
      <w:b/>
      <w:bCs/>
      <w:sz w:val="22"/>
      <w:szCs w:val="22"/>
    </w:rPr>
  </w:style>
  <w:style w:type="paragraph" w:styleId="Heading7">
    <w:name w:val="heading 7"/>
    <w:basedOn w:val="Normal"/>
    <w:next w:val="Normal"/>
    <w:qFormat/>
    <w:rsid w:val="00B834B1"/>
    <w:pPr>
      <w:numPr>
        <w:ilvl w:val="6"/>
        <w:numId w:val="10"/>
      </w:numPr>
      <w:spacing w:before="240" w:after="60"/>
      <w:outlineLvl w:val="6"/>
    </w:pPr>
  </w:style>
  <w:style w:type="paragraph" w:styleId="Heading8">
    <w:name w:val="heading 8"/>
    <w:basedOn w:val="Normal"/>
    <w:next w:val="Normal"/>
    <w:qFormat/>
    <w:rsid w:val="00B834B1"/>
    <w:pPr>
      <w:numPr>
        <w:ilvl w:val="7"/>
        <w:numId w:val="10"/>
      </w:numPr>
      <w:spacing w:before="240" w:after="60"/>
      <w:outlineLvl w:val="7"/>
    </w:pPr>
    <w:rPr>
      <w:i/>
      <w:iCs/>
    </w:rPr>
  </w:style>
  <w:style w:type="paragraph" w:styleId="Heading9">
    <w:name w:val="heading 9"/>
    <w:basedOn w:val="Normal"/>
    <w:next w:val="Normal"/>
    <w:qFormat/>
    <w:rsid w:val="00B834B1"/>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360" w:right="-360"/>
    </w:pPr>
    <w:rPr>
      <w:sz w:val="22"/>
      <w:szCs w:val="22"/>
    </w:rPr>
  </w:style>
  <w:style w:type="paragraph" w:styleId="Title">
    <w:name w:val="Title"/>
    <w:basedOn w:val="Normal"/>
    <w:qFormat/>
    <w:pPr>
      <w:ind w:left="-360" w:right="-360"/>
      <w:jc w:val="center"/>
    </w:pPr>
    <w:rPr>
      <w:b/>
    </w:rPr>
  </w:style>
  <w:style w:type="paragraph" w:customStyle="1" w:styleId="MediumGrid1-Accent21">
    <w:name w:val="Medium Grid 1 - Accent 21"/>
    <w:basedOn w:val="Normal"/>
    <w:uiPriority w:val="34"/>
    <w:qFormat/>
    <w:rsid w:val="00AB489B"/>
    <w:pPr>
      <w:ind w:left="720"/>
      <w:contextualSpacing/>
    </w:pPr>
    <w:rPr>
      <w:rFonts w:ascii="Cambria" w:eastAsia="MS Mincho" w:hAnsi="Cambria"/>
    </w:rPr>
  </w:style>
  <w:style w:type="character" w:styleId="CommentReference">
    <w:name w:val="annotation reference"/>
    <w:rsid w:val="00AC5752"/>
    <w:rPr>
      <w:sz w:val="16"/>
      <w:szCs w:val="16"/>
    </w:rPr>
  </w:style>
  <w:style w:type="paragraph" w:styleId="CommentText">
    <w:name w:val="annotation text"/>
    <w:basedOn w:val="Normal"/>
    <w:link w:val="CommentTextChar"/>
    <w:rsid w:val="00AC5752"/>
    <w:rPr>
      <w:sz w:val="20"/>
      <w:szCs w:val="20"/>
    </w:rPr>
  </w:style>
  <w:style w:type="character" w:customStyle="1" w:styleId="CommentTextChar">
    <w:name w:val="Comment Text Char"/>
    <w:basedOn w:val="DefaultParagraphFont"/>
    <w:link w:val="CommentText"/>
    <w:rsid w:val="00AC5752"/>
  </w:style>
  <w:style w:type="paragraph" w:styleId="CommentSubject">
    <w:name w:val="annotation subject"/>
    <w:basedOn w:val="CommentText"/>
    <w:next w:val="CommentText"/>
    <w:link w:val="CommentSubjectChar"/>
    <w:rsid w:val="00AC5752"/>
    <w:rPr>
      <w:b/>
      <w:bCs/>
    </w:rPr>
  </w:style>
  <w:style w:type="character" w:customStyle="1" w:styleId="CommentSubjectChar">
    <w:name w:val="Comment Subject Char"/>
    <w:link w:val="CommentSubject"/>
    <w:rsid w:val="00AC57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3532</Words>
  <Characters>20139</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Guidelines for Writing a Research Protocol</vt:lpstr>
    </vt:vector>
  </TitlesOfParts>
  <Company>Office of Responsible Research Practices</Company>
  <LinksUpToDate>false</LinksUpToDate>
  <CharactersWithSpaces>23624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Writing a Research Protocol</dc:title>
  <dc:creator>elizabeth hanawalt</dc:creator>
  <cp:lastModifiedBy>Kent User</cp:lastModifiedBy>
  <cp:revision>2</cp:revision>
  <cp:lastPrinted>2014-06-13T18:32:00Z</cp:lastPrinted>
  <dcterms:created xsi:type="dcterms:W3CDTF">2014-11-05T13:03:00Z</dcterms:created>
  <dcterms:modified xsi:type="dcterms:W3CDTF">2014-11-05T13:03:00Z</dcterms:modified>
</cp:coreProperties>
</file>