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535AF3" w:rsidRDefault="007057C5" w:rsidP="00661B95">
      <w:pPr>
        <w:jc w:val="center"/>
        <w:rPr>
          <w:b/>
          <w:sz w:val="22"/>
        </w:rPr>
      </w:pPr>
      <w:r w:rsidRPr="00535AF3">
        <w:rPr>
          <w:b/>
          <w:sz w:val="22"/>
        </w:rPr>
        <w:t>GRADUATE PROGRAM COORDINATORS MEETIN</w:t>
      </w:r>
      <w:bookmarkStart w:id="0" w:name="_GoBack"/>
      <w:bookmarkEnd w:id="0"/>
      <w:r w:rsidRPr="00535AF3">
        <w:rPr>
          <w:b/>
          <w:sz w:val="22"/>
        </w:rPr>
        <w:t>G</w:t>
      </w:r>
    </w:p>
    <w:p w:rsidR="00661B95" w:rsidRPr="00535AF3" w:rsidRDefault="001D5B53" w:rsidP="00661B95">
      <w:pPr>
        <w:jc w:val="center"/>
        <w:rPr>
          <w:b/>
          <w:sz w:val="22"/>
        </w:rPr>
      </w:pPr>
      <w:r w:rsidRPr="00535AF3">
        <w:rPr>
          <w:b/>
          <w:sz w:val="22"/>
        </w:rPr>
        <w:t>October 25, 2013</w:t>
      </w:r>
    </w:p>
    <w:p w:rsidR="00661B95" w:rsidRDefault="00661B95" w:rsidP="00661B95">
      <w:pPr>
        <w:jc w:val="center"/>
      </w:pPr>
    </w:p>
    <w:p w:rsidR="00BF7F32" w:rsidRPr="00BB3F7E" w:rsidRDefault="00BF7F32" w:rsidP="00BF7F32">
      <w:pPr>
        <w:rPr>
          <w:sz w:val="18"/>
          <w:szCs w:val="18"/>
        </w:rPr>
      </w:pPr>
      <w:r w:rsidRPr="00BB3F7E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520"/>
        <w:gridCol w:w="2610"/>
        <w:gridCol w:w="2520"/>
      </w:tblGrid>
      <w:tr w:rsidR="00BF7F32" w:rsidRPr="00EC1F29" w:rsidTr="00792D73">
        <w:tc>
          <w:tcPr>
            <w:tcW w:w="2628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20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610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20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BF7F32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Boske, Christa</w:t>
            </w:r>
          </w:p>
        </w:tc>
        <w:tc>
          <w:tcPr>
            <w:tcW w:w="2520" w:type="dxa"/>
            <w:shd w:val="clear" w:color="auto" w:fill="auto"/>
          </w:tcPr>
          <w:p w:rsidR="00BF7F32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Glickman, Ellen</w:t>
            </w:r>
          </w:p>
        </w:tc>
        <w:tc>
          <w:tcPr>
            <w:tcW w:w="2610" w:type="dxa"/>
            <w:shd w:val="clear" w:color="auto" w:fill="auto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Cox, Jane</w:t>
            </w:r>
          </w:p>
        </w:tc>
        <w:tc>
          <w:tcPr>
            <w:tcW w:w="2520" w:type="dxa"/>
            <w:shd w:val="clear" w:color="auto" w:fill="auto"/>
          </w:tcPr>
          <w:p w:rsidR="00BF7F32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Hawley, Todd</w:t>
            </w:r>
          </w:p>
        </w:tc>
      </w:tr>
      <w:tr w:rsidR="001E4D13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McClelland, Averil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Gordon, Karen</w:t>
            </w:r>
          </w:p>
        </w:tc>
        <w:tc>
          <w:tcPr>
            <w:tcW w:w="261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Cichy, Kelly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Kroeger, Janice</w:t>
            </w:r>
          </w:p>
        </w:tc>
      </w:tr>
      <w:tr w:rsidR="001E4D13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Niesz, Tricia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Huston, Jeff</w:t>
            </w:r>
          </w:p>
        </w:tc>
        <w:tc>
          <w:tcPr>
            <w:tcW w:w="261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McGlothlin, Jason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Mitchell, Stephen</w:t>
            </w:r>
          </w:p>
        </w:tc>
      </w:tr>
      <w:tr w:rsidR="001E4D13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Ravichandran, Swathi</w:t>
            </w:r>
          </w:p>
        </w:tc>
        <w:tc>
          <w:tcPr>
            <w:tcW w:w="2520" w:type="dxa"/>
            <w:shd w:val="clear" w:color="auto" w:fill="auto"/>
          </w:tcPr>
          <w:p w:rsidR="001E4D13" w:rsidRPr="009B52D3" w:rsidRDefault="001E4D13" w:rsidP="00792D7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Sansosti, Frank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</w:tr>
      <w:tr w:rsidR="001E4D13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1E4D13" w:rsidRPr="009B52D3" w:rsidRDefault="001E4D13" w:rsidP="00792D7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</w:tcPr>
          <w:p w:rsidR="001E4D13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Tiene, Drew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</w:tr>
      <w:tr w:rsidR="001E4D13" w:rsidRPr="00EC1F29" w:rsidTr="00792D73">
        <w:trPr>
          <w:trHeight w:val="233"/>
        </w:trPr>
        <w:tc>
          <w:tcPr>
            <w:tcW w:w="2628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Wisdom, Sonya</w:t>
            </w:r>
          </w:p>
        </w:tc>
        <w:tc>
          <w:tcPr>
            <w:tcW w:w="2520" w:type="dxa"/>
            <w:shd w:val="clear" w:color="auto" w:fill="auto"/>
          </w:tcPr>
          <w:p w:rsidR="001E4D13" w:rsidRPr="00EC1F29" w:rsidRDefault="001E4D13" w:rsidP="00792D73">
            <w:pPr>
              <w:rPr>
                <w:sz w:val="18"/>
                <w:szCs w:val="18"/>
              </w:rPr>
            </w:pPr>
          </w:p>
        </w:tc>
      </w:tr>
    </w:tbl>
    <w:p w:rsidR="00BF7F32" w:rsidRPr="00BB3F7E" w:rsidRDefault="00BF7F32" w:rsidP="00BF7F32">
      <w:pPr>
        <w:rPr>
          <w:sz w:val="18"/>
          <w:szCs w:val="18"/>
        </w:rPr>
      </w:pPr>
      <w:r>
        <w:rPr>
          <w:sz w:val="18"/>
          <w:szCs w:val="18"/>
        </w:rPr>
        <w:t>Cathy Hackney, Admin Affairs; Nancy Miller, OGSS; Luci Wymer, Recorder</w:t>
      </w:r>
    </w:p>
    <w:p w:rsidR="00BF7F32" w:rsidRPr="00BB3F7E" w:rsidRDefault="00BF7F32" w:rsidP="00BF7F32">
      <w:pPr>
        <w:rPr>
          <w:sz w:val="18"/>
          <w:szCs w:val="18"/>
        </w:rPr>
      </w:pPr>
    </w:p>
    <w:p w:rsidR="00BF7F32" w:rsidRPr="00BB3F7E" w:rsidRDefault="00BF7F32" w:rsidP="00BF7F32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F7F32" w:rsidRPr="00EC1F29" w:rsidTr="00792D73">
        <w:tc>
          <w:tcPr>
            <w:tcW w:w="2574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BF7F32" w:rsidRPr="00EC1F29" w:rsidTr="00792D73">
        <w:trPr>
          <w:trHeight w:val="233"/>
        </w:trPr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Kretovics, Mark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Burzminski, Nancy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Brooks, Bette</w:t>
            </w:r>
          </w:p>
        </w:tc>
      </w:tr>
      <w:tr w:rsidR="00BF7F32" w:rsidRPr="00EC1F29" w:rsidTr="00792D73"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Lyberger</w:t>
            </w: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Ding, Kele</w:t>
            </w:r>
          </w:p>
        </w:tc>
        <w:tc>
          <w:tcPr>
            <w:tcW w:w="2574" w:type="dxa"/>
          </w:tcPr>
          <w:p w:rsidR="00BF7F32" w:rsidRDefault="00BF7F32" w:rsidP="00792D7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F7F32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Henderson, Jim</w:t>
            </w:r>
          </w:p>
        </w:tc>
      </w:tr>
      <w:tr w:rsidR="00BF7F32" w:rsidRPr="00EC1F29" w:rsidTr="00792D73"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Rowan, Lynne</w:t>
            </w:r>
          </w:p>
        </w:tc>
        <w:tc>
          <w:tcPr>
            <w:tcW w:w="2574" w:type="dxa"/>
          </w:tcPr>
          <w:p w:rsidR="00BF7F32" w:rsidRDefault="00BF7F32" w:rsidP="00792D7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Morgan, Denise</w:t>
            </w:r>
          </w:p>
        </w:tc>
      </w:tr>
      <w:tr w:rsidR="00BF7F32" w:rsidRPr="00EC1F29" w:rsidTr="00792D73"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F7F32" w:rsidRPr="00EC1F29" w:rsidRDefault="00BF7F32" w:rsidP="00792D73">
            <w:pPr>
              <w:rPr>
                <w:sz w:val="18"/>
                <w:szCs w:val="18"/>
              </w:rPr>
            </w:pPr>
            <w:r w:rsidRPr="009F6C23">
              <w:rPr>
                <w:sz w:val="18"/>
                <w:szCs w:val="18"/>
              </w:rPr>
              <w:t>Wagner, Laurie</w:t>
            </w:r>
          </w:p>
        </w:tc>
        <w:tc>
          <w:tcPr>
            <w:tcW w:w="2574" w:type="dxa"/>
          </w:tcPr>
          <w:p w:rsidR="00BF7F32" w:rsidRDefault="00BF7F32" w:rsidP="00792D7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F7F32" w:rsidRPr="00EC1F29" w:rsidRDefault="001E4D13" w:rsidP="00792D7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O’Connor, Pat</w:t>
            </w:r>
          </w:p>
        </w:tc>
      </w:tr>
    </w:tbl>
    <w:p w:rsidR="00BF7F32" w:rsidRDefault="00BF7F32" w:rsidP="00BF7F32">
      <w:pPr>
        <w:rPr>
          <w:sz w:val="18"/>
          <w:szCs w:val="18"/>
        </w:rPr>
      </w:pPr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</w:t>
      </w:r>
      <w:r w:rsidR="001E4D13">
        <w:rPr>
          <w:sz w:val="18"/>
          <w:szCs w:val="18"/>
        </w:rPr>
        <w:t xml:space="preserve">Paulette Washko, Mgr. Research Compliance; Kevin McCreary, Research Compliance </w:t>
      </w:r>
      <w:proofErr w:type="spellStart"/>
      <w:r w:rsidR="001E4D13">
        <w:rPr>
          <w:sz w:val="18"/>
          <w:szCs w:val="18"/>
        </w:rPr>
        <w:t>Coord</w:t>
      </w:r>
      <w:proofErr w:type="spellEnd"/>
      <w:r w:rsidR="001E4D13">
        <w:rPr>
          <w:sz w:val="18"/>
          <w:szCs w:val="18"/>
        </w:rPr>
        <w:t>.</w:t>
      </w:r>
    </w:p>
    <w:p w:rsidR="00661B95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670"/>
        <w:gridCol w:w="2178"/>
      </w:tblGrid>
      <w:tr w:rsidR="00661B95" w:rsidRPr="00535AF3" w:rsidTr="00285CB0">
        <w:tc>
          <w:tcPr>
            <w:tcW w:w="2448" w:type="dxa"/>
          </w:tcPr>
          <w:p w:rsidR="00661B95" w:rsidRPr="00535AF3" w:rsidRDefault="00661B95" w:rsidP="00661B95">
            <w:pPr>
              <w:rPr>
                <w:b/>
                <w:sz w:val="22"/>
              </w:rPr>
            </w:pPr>
            <w:r w:rsidRPr="00535AF3">
              <w:rPr>
                <w:b/>
                <w:sz w:val="22"/>
              </w:rPr>
              <w:t>AGENDA ITEM</w:t>
            </w:r>
          </w:p>
        </w:tc>
        <w:tc>
          <w:tcPr>
            <w:tcW w:w="5670" w:type="dxa"/>
          </w:tcPr>
          <w:p w:rsidR="00661B95" w:rsidRPr="00535AF3" w:rsidRDefault="00661B95" w:rsidP="00661B95">
            <w:pPr>
              <w:jc w:val="center"/>
              <w:rPr>
                <w:b/>
                <w:sz w:val="22"/>
              </w:rPr>
            </w:pPr>
            <w:r w:rsidRPr="00535AF3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535AF3" w:rsidRDefault="00661B95" w:rsidP="00661B95">
            <w:pPr>
              <w:jc w:val="center"/>
              <w:rPr>
                <w:b/>
                <w:sz w:val="22"/>
              </w:rPr>
            </w:pPr>
            <w:r w:rsidRPr="00535AF3">
              <w:rPr>
                <w:b/>
                <w:sz w:val="22"/>
              </w:rPr>
              <w:t>ACTION TAKEN</w:t>
            </w:r>
          </w:p>
        </w:tc>
      </w:tr>
      <w:tr w:rsidR="00661B95" w:rsidRPr="00535AF3" w:rsidTr="00285CB0">
        <w:tc>
          <w:tcPr>
            <w:tcW w:w="2448" w:type="dxa"/>
          </w:tcPr>
          <w:p w:rsidR="00661B95" w:rsidRPr="00535AF3" w:rsidRDefault="001D2A79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Institutional Research Bureau</w:t>
            </w:r>
          </w:p>
          <w:p w:rsidR="001D2A79" w:rsidRPr="00535AF3" w:rsidRDefault="001D2A79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Discussion with Paulette Washko</w:t>
            </w:r>
          </w:p>
        </w:tc>
        <w:tc>
          <w:tcPr>
            <w:tcW w:w="5670" w:type="dxa"/>
          </w:tcPr>
          <w:p w:rsidR="00661B95" w:rsidRPr="00535AF3" w:rsidRDefault="00990404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C. Hackney welcomed the group and the speaker.  She explained that there ha</w:t>
            </w:r>
            <w:r w:rsidR="00535AF3" w:rsidRPr="00535AF3">
              <w:rPr>
                <w:sz w:val="22"/>
              </w:rPr>
              <w:t>ve</w:t>
            </w:r>
            <w:r w:rsidRPr="00535AF3">
              <w:rPr>
                <w:sz w:val="22"/>
              </w:rPr>
              <w:t xml:space="preserve"> been many questions regarding the IRB</w:t>
            </w:r>
            <w:r w:rsidR="00535AF3" w:rsidRPr="00535AF3">
              <w:rPr>
                <w:sz w:val="22"/>
              </w:rPr>
              <w:t xml:space="preserve"> approval process</w:t>
            </w:r>
            <w:r w:rsidRPr="00535AF3">
              <w:rPr>
                <w:sz w:val="22"/>
              </w:rPr>
              <w:t xml:space="preserve">.  </w:t>
            </w:r>
          </w:p>
          <w:p w:rsidR="00191E12" w:rsidRPr="00535AF3" w:rsidRDefault="00191E12" w:rsidP="00661B95">
            <w:pPr>
              <w:rPr>
                <w:sz w:val="22"/>
              </w:rPr>
            </w:pPr>
          </w:p>
          <w:p w:rsidR="00191E12" w:rsidRPr="00535AF3" w:rsidRDefault="000175DA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P. Washko, M</w:t>
            </w:r>
            <w:r w:rsidR="00191E12" w:rsidRPr="00535AF3">
              <w:rPr>
                <w:sz w:val="22"/>
              </w:rPr>
              <w:t xml:space="preserve">anager of </w:t>
            </w:r>
            <w:r w:rsidRPr="00535AF3">
              <w:rPr>
                <w:sz w:val="22"/>
              </w:rPr>
              <w:t>R</w:t>
            </w:r>
            <w:r w:rsidR="00191E12" w:rsidRPr="00535AF3">
              <w:rPr>
                <w:sz w:val="22"/>
              </w:rPr>
              <w:t xml:space="preserve">esearch </w:t>
            </w:r>
            <w:r w:rsidRPr="00535AF3">
              <w:rPr>
                <w:sz w:val="22"/>
              </w:rPr>
              <w:t>C</w:t>
            </w:r>
            <w:r w:rsidR="00191E12" w:rsidRPr="00535AF3">
              <w:rPr>
                <w:sz w:val="22"/>
              </w:rPr>
              <w:t xml:space="preserve">ompliance </w:t>
            </w:r>
            <w:r w:rsidRPr="00535AF3">
              <w:rPr>
                <w:sz w:val="22"/>
              </w:rPr>
              <w:t xml:space="preserve">gave an overview of </w:t>
            </w:r>
            <w:r w:rsidR="00535AF3" w:rsidRPr="00535AF3">
              <w:rPr>
                <w:sz w:val="22"/>
              </w:rPr>
              <w:t>the IRB process</w:t>
            </w:r>
            <w:r w:rsidR="00191E12" w:rsidRPr="00535AF3">
              <w:rPr>
                <w:sz w:val="22"/>
              </w:rPr>
              <w:t xml:space="preserve">.  </w:t>
            </w:r>
            <w:r w:rsidR="00535AF3" w:rsidRPr="00535AF3">
              <w:rPr>
                <w:sz w:val="22"/>
              </w:rPr>
              <w:t>Her office is</w:t>
            </w:r>
            <w:r w:rsidRPr="00535AF3">
              <w:rPr>
                <w:sz w:val="22"/>
              </w:rPr>
              <w:t xml:space="preserve"> responsible to r</w:t>
            </w:r>
            <w:r w:rsidR="00191E12" w:rsidRPr="00535AF3">
              <w:rPr>
                <w:sz w:val="22"/>
              </w:rPr>
              <w:t>eview research</w:t>
            </w:r>
            <w:r w:rsidR="00535AF3" w:rsidRPr="00535AF3">
              <w:rPr>
                <w:sz w:val="22"/>
              </w:rPr>
              <w:t xml:space="preserve"> proposals</w:t>
            </w:r>
            <w:r w:rsidRPr="00535AF3">
              <w:rPr>
                <w:sz w:val="22"/>
              </w:rPr>
              <w:t xml:space="preserve"> and</w:t>
            </w:r>
            <w:r w:rsidR="00191E12" w:rsidRPr="00535AF3">
              <w:rPr>
                <w:sz w:val="22"/>
              </w:rPr>
              <w:t xml:space="preserve"> ensure </w:t>
            </w:r>
            <w:r w:rsidR="00535AF3" w:rsidRPr="00535AF3">
              <w:rPr>
                <w:sz w:val="22"/>
              </w:rPr>
              <w:t>compliance with regulations</w:t>
            </w:r>
            <w:r w:rsidR="00191E12" w:rsidRPr="00535AF3">
              <w:rPr>
                <w:sz w:val="22"/>
              </w:rPr>
              <w:t xml:space="preserve">.  KSU complies with all of the subparts of the “Common Rule”.  </w:t>
            </w:r>
          </w:p>
          <w:p w:rsidR="00935B68" w:rsidRPr="00535AF3" w:rsidRDefault="00935B68" w:rsidP="00661B95">
            <w:pPr>
              <w:rPr>
                <w:sz w:val="22"/>
              </w:rPr>
            </w:pPr>
          </w:p>
          <w:p w:rsidR="00935B68" w:rsidRPr="00535AF3" w:rsidRDefault="00935B68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Revised procedures:</w:t>
            </w:r>
          </w:p>
          <w:p w:rsidR="00935B68" w:rsidRPr="00535AF3" w:rsidRDefault="00935B68" w:rsidP="00935B6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2 levels of application forms to better streamline the process for investigators that are conducting research that meets the Exemption parameters.</w:t>
            </w:r>
          </w:p>
          <w:p w:rsidR="00935B68" w:rsidRPr="00535AF3" w:rsidRDefault="00935B68" w:rsidP="00935B68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 xml:space="preserve">Appendices only need to be completed when </w:t>
            </w:r>
            <w:r w:rsidR="00535AF3" w:rsidRPr="00535AF3">
              <w:rPr>
                <w:sz w:val="22"/>
              </w:rPr>
              <w:t>they</w:t>
            </w:r>
            <w:r w:rsidRPr="00535AF3">
              <w:rPr>
                <w:sz w:val="22"/>
              </w:rPr>
              <w:t xml:space="preserve"> appl</w:t>
            </w:r>
            <w:r w:rsidR="00535AF3" w:rsidRPr="00535AF3">
              <w:rPr>
                <w:sz w:val="22"/>
              </w:rPr>
              <w:t>y</w:t>
            </w:r>
            <w:r w:rsidRPr="00535AF3">
              <w:rPr>
                <w:sz w:val="22"/>
              </w:rPr>
              <w:t xml:space="preserve"> to your research</w:t>
            </w:r>
          </w:p>
          <w:p w:rsidR="00935B68" w:rsidRPr="00535AF3" w:rsidRDefault="00935B68" w:rsidP="00935B68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Blue tip text provid</w:t>
            </w:r>
            <w:r w:rsidR="00535AF3" w:rsidRPr="00535AF3">
              <w:rPr>
                <w:sz w:val="22"/>
              </w:rPr>
              <w:t>es</w:t>
            </w:r>
            <w:r w:rsidRPr="00535AF3">
              <w:rPr>
                <w:sz w:val="22"/>
              </w:rPr>
              <w:t xml:space="preserve"> you with definitions and help</w:t>
            </w:r>
          </w:p>
          <w:p w:rsidR="00C2077D" w:rsidRPr="00535AF3" w:rsidRDefault="00C2077D" w:rsidP="00935B68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 xml:space="preserve">References to Regulations </w:t>
            </w:r>
            <w:r w:rsidR="00535AF3" w:rsidRPr="00535AF3">
              <w:rPr>
                <w:sz w:val="22"/>
              </w:rPr>
              <w:t xml:space="preserve">are </w:t>
            </w:r>
            <w:r w:rsidRPr="00535AF3">
              <w:rPr>
                <w:sz w:val="22"/>
              </w:rPr>
              <w:t>in gray boxes on the side</w:t>
            </w:r>
          </w:p>
          <w:p w:rsidR="00C2077D" w:rsidRPr="00535AF3" w:rsidRDefault="00C2077D" w:rsidP="00935B68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True/Not true boxes</w:t>
            </w:r>
            <w:r w:rsidR="00535AF3" w:rsidRPr="00535AF3">
              <w:rPr>
                <w:sz w:val="22"/>
              </w:rPr>
              <w:t xml:space="preserve"> should be checked</w:t>
            </w:r>
          </w:p>
          <w:p w:rsidR="008D00A8" w:rsidRPr="00535AF3" w:rsidRDefault="008D00A8" w:rsidP="008D00A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Updated minimal Risk Classroom Project forms and Decision Tree</w:t>
            </w:r>
          </w:p>
          <w:p w:rsidR="008D00A8" w:rsidRPr="00535AF3" w:rsidRDefault="008D00A8" w:rsidP="008D00A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Did away with Action Research forms (now can use Level I form)</w:t>
            </w:r>
          </w:p>
          <w:p w:rsidR="008D00A8" w:rsidRPr="00535AF3" w:rsidRDefault="008D00A8" w:rsidP="008D00A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Annual review reminder procedures</w:t>
            </w:r>
          </w:p>
          <w:p w:rsidR="008D00A8" w:rsidRPr="00535AF3" w:rsidRDefault="008D00A8" w:rsidP="008D00A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lastRenderedPageBreak/>
              <w:t>Discipline specific reviewers can approve Level I applications right away, no need to wait for notification from the Office of Research Compliance (unless directed to do so)</w:t>
            </w:r>
          </w:p>
          <w:p w:rsidR="00836829" w:rsidRPr="00535AF3" w:rsidRDefault="008D00A8" w:rsidP="00535AF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35AF3">
              <w:rPr>
                <w:sz w:val="22"/>
              </w:rPr>
              <w:t>Approval</w:t>
            </w:r>
            <w:r w:rsidR="00535AF3" w:rsidRPr="00535AF3">
              <w:rPr>
                <w:sz w:val="22"/>
              </w:rPr>
              <w:t xml:space="preserve"> of Level I research</w:t>
            </w:r>
            <w:r w:rsidRPr="00535AF3">
              <w:rPr>
                <w:sz w:val="22"/>
              </w:rPr>
              <w:t xml:space="preserve"> means no need for an annual review</w:t>
            </w:r>
            <w:r w:rsidR="00836829" w:rsidRPr="00535AF3">
              <w:rPr>
                <w:sz w:val="22"/>
              </w:rPr>
              <w:t xml:space="preserve"> </w:t>
            </w:r>
          </w:p>
          <w:p w:rsidR="00A60E98" w:rsidRPr="00535AF3" w:rsidRDefault="00A60E98" w:rsidP="00A60E98">
            <w:pPr>
              <w:rPr>
                <w:sz w:val="22"/>
              </w:rPr>
            </w:pPr>
          </w:p>
          <w:p w:rsidR="00A60E98" w:rsidRPr="00535AF3" w:rsidRDefault="00EE0D53" w:rsidP="00A60E98">
            <w:pPr>
              <w:rPr>
                <w:sz w:val="22"/>
              </w:rPr>
            </w:pPr>
            <w:r w:rsidRPr="00535AF3">
              <w:rPr>
                <w:sz w:val="22"/>
              </w:rPr>
              <w:t>There was discussion regarding the assignment of the faculty as the PI instead of the student.</w:t>
            </w:r>
          </w:p>
          <w:p w:rsidR="00620E08" w:rsidRPr="00535AF3" w:rsidRDefault="00620E08" w:rsidP="00A60E98">
            <w:pPr>
              <w:rPr>
                <w:sz w:val="22"/>
              </w:rPr>
            </w:pPr>
          </w:p>
          <w:p w:rsidR="00620E08" w:rsidRPr="00535AF3" w:rsidRDefault="00620E08" w:rsidP="00A60E98">
            <w:pPr>
              <w:rPr>
                <w:sz w:val="22"/>
              </w:rPr>
            </w:pPr>
            <w:r w:rsidRPr="00535AF3">
              <w:rPr>
                <w:sz w:val="22"/>
              </w:rPr>
              <w:t>What will be seen in the future:</w:t>
            </w:r>
          </w:p>
          <w:p w:rsidR="00620E08" w:rsidRPr="00535AF3" w:rsidRDefault="00620E08" w:rsidP="00620E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535AF3">
              <w:rPr>
                <w:sz w:val="22"/>
              </w:rPr>
              <w:t>Will be providing additional workshops for students</w:t>
            </w:r>
          </w:p>
          <w:p w:rsidR="00620E08" w:rsidRPr="00535AF3" w:rsidRDefault="00620E08" w:rsidP="00620E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535AF3">
              <w:rPr>
                <w:sz w:val="22"/>
              </w:rPr>
              <w:t>Online submission system</w:t>
            </w:r>
          </w:p>
          <w:p w:rsidR="00620E08" w:rsidRPr="00535AF3" w:rsidRDefault="00620E08" w:rsidP="00620E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535AF3">
              <w:rPr>
                <w:sz w:val="22"/>
              </w:rPr>
              <w:t>Continue to review policies and procedures.</w:t>
            </w:r>
          </w:p>
          <w:p w:rsidR="00AA4D6B" w:rsidRPr="00535AF3" w:rsidRDefault="00AA4D6B" w:rsidP="00AA4D6B">
            <w:pPr>
              <w:rPr>
                <w:sz w:val="22"/>
              </w:rPr>
            </w:pPr>
          </w:p>
          <w:p w:rsidR="000175DA" w:rsidRPr="00535AF3" w:rsidRDefault="000175DA" w:rsidP="00AA4D6B">
            <w:pPr>
              <w:rPr>
                <w:sz w:val="22"/>
              </w:rPr>
            </w:pPr>
            <w:r w:rsidRPr="00535AF3">
              <w:rPr>
                <w:sz w:val="22"/>
              </w:rPr>
              <w:t>P. Washko explained that there aren’t new policies, but policies currently in place are being enforced.  There was much discussion regarding the impact on the faculty.</w:t>
            </w:r>
          </w:p>
          <w:p w:rsidR="000175DA" w:rsidRPr="00535AF3" w:rsidRDefault="000175DA" w:rsidP="00AA4D6B">
            <w:pPr>
              <w:rPr>
                <w:sz w:val="22"/>
              </w:rPr>
            </w:pPr>
          </w:p>
          <w:p w:rsidR="00AA4D6B" w:rsidRPr="00535AF3" w:rsidRDefault="00AA4D6B" w:rsidP="00AA4D6B">
            <w:pPr>
              <w:rPr>
                <w:sz w:val="22"/>
              </w:rPr>
            </w:pPr>
            <w:r w:rsidRPr="00535AF3">
              <w:rPr>
                <w:sz w:val="22"/>
              </w:rPr>
              <w:t>There was a suggestion of future workshops for faculty with more training on implementing this policy.</w:t>
            </w:r>
          </w:p>
        </w:tc>
        <w:tc>
          <w:tcPr>
            <w:tcW w:w="2178" w:type="dxa"/>
          </w:tcPr>
          <w:p w:rsidR="00661B95" w:rsidRPr="00535AF3" w:rsidRDefault="00661B95" w:rsidP="00661B95">
            <w:pPr>
              <w:rPr>
                <w:sz w:val="22"/>
              </w:rPr>
            </w:pPr>
          </w:p>
        </w:tc>
      </w:tr>
      <w:tr w:rsidR="00661B95" w:rsidRPr="00535AF3" w:rsidTr="00285CB0">
        <w:tc>
          <w:tcPr>
            <w:tcW w:w="2448" w:type="dxa"/>
          </w:tcPr>
          <w:p w:rsidR="00661B95" w:rsidRPr="00535AF3" w:rsidRDefault="001D2A79" w:rsidP="00661B95">
            <w:pPr>
              <w:rPr>
                <w:sz w:val="22"/>
              </w:rPr>
            </w:pPr>
            <w:r w:rsidRPr="00535AF3">
              <w:rPr>
                <w:sz w:val="22"/>
              </w:rPr>
              <w:lastRenderedPageBreak/>
              <w:t>Envisioning Graduate Education in EHHS</w:t>
            </w:r>
          </w:p>
        </w:tc>
        <w:tc>
          <w:tcPr>
            <w:tcW w:w="5670" w:type="dxa"/>
          </w:tcPr>
          <w:p w:rsidR="00661B95" w:rsidRPr="00535AF3" w:rsidRDefault="00AA4D6B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Tabled for this meeting.  This will be discussed at next month’s meeting.</w:t>
            </w:r>
          </w:p>
        </w:tc>
        <w:tc>
          <w:tcPr>
            <w:tcW w:w="2178" w:type="dxa"/>
          </w:tcPr>
          <w:p w:rsidR="00661B95" w:rsidRPr="00535AF3" w:rsidRDefault="00661B95" w:rsidP="00661B95">
            <w:pPr>
              <w:rPr>
                <w:sz w:val="22"/>
              </w:rPr>
            </w:pPr>
          </w:p>
        </w:tc>
      </w:tr>
      <w:tr w:rsidR="00661B95" w:rsidRPr="00535AF3" w:rsidTr="00285CB0">
        <w:tc>
          <w:tcPr>
            <w:tcW w:w="2448" w:type="dxa"/>
          </w:tcPr>
          <w:p w:rsidR="00661B95" w:rsidRPr="00535AF3" w:rsidRDefault="001D2A79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Recommendations from the Doctoral Program Review Committee</w:t>
            </w:r>
          </w:p>
        </w:tc>
        <w:tc>
          <w:tcPr>
            <w:tcW w:w="5670" w:type="dxa"/>
          </w:tcPr>
          <w:p w:rsidR="00661B95" w:rsidRPr="00535AF3" w:rsidRDefault="001D2A79" w:rsidP="000175DA">
            <w:pPr>
              <w:pStyle w:val="ListParagraph"/>
              <w:numPr>
                <w:ilvl w:val="0"/>
                <w:numId w:val="5"/>
              </w:numPr>
              <w:spacing w:after="360"/>
              <w:rPr>
                <w:sz w:val="22"/>
              </w:rPr>
            </w:pPr>
            <w:r w:rsidRPr="00535AF3">
              <w:rPr>
                <w:sz w:val="22"/>
              </w:rPr>
              <w:t>Enforce the 2 year limit between comprehensive exams and the proposal defense</w:t>
            </w:r>
          </w:p>
          <w:p w:rsidR="00F00328" w:rsidRPr="00535AF3" w:rsidRDefault="00F00328" w:rsidP="00F00328">
            <w:pPr>
              <w:spacing w:after="360"/>
              <w:rPr>
                <w:sz w:val="22"/>
              </w:rPr>
            </w:pPr>
            <w:r w:rsidRPr="00535AF3">
              <w:rPr>
                <w:sz w:val="22"/>
              </w:rPr>
              <w:t>Consequences?  Extension</w:t>
            </w:r>
          </w:p>
          <w:p w:rsidR="001D2A79" w:rsidRPr="00535AF3" w:rsidRDefault="001D2A79" w:rsidP="000175D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35AF3">
              <w:rPr>
                <w:sz w:val="22"/>
              </w:rPr>
              <w:t>Codify revisions to policy and student handbook:  The comprehensive exam committee is composed of at least 2 faculty members in the student’s program of study.  In the event of a disagreement between the 2 faculty members concerning a students’ passing or failing the written or oral exam, the Associate Dean for Administrative Affairs and Graduate Education will appoint a 3</w:t>
            </w:r>
            <w:r w:rsidRPr="00535AF3">
              <w:rPr>
                <w:sz w:val="22"/>
                <w:vertAlign w:val="superscript"/>
              </w:rPr>
              <w:t>rd</w:t>
            </w:r>
            <w:r w:rsidRPr="00535AF3">
              <w:rPr>
                <w:sz w:val="22"/>
              </w:rPr>
              <w:t xml:space="preserve"> faculty member to join the committee.  The third faculty member will evaluate the student’s exam to recommend a passing or failing grade and thus an undisputed, definitive decision.</w:t>
            </w:r>
          </w:p>
          <w:p w:rsidR="00F00328" w:rsidRPr="00535AF3" w:rsidRDefault="00F00328" w:rsidP="00F00328">
            <w:pPr>
              <w:rPr>
                <w:sz w:val="22"/>
              </w:rPr>
            </w:pPr>
          </w:p>
          <w:p w:rsidR="00F00328" w:rsidRPr="00535AF3" w:rsidRDefault="00F00328" w:rsidP="00F00328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0175DA" w:rsidRPr="00535AF3" w:rsidRDefault="000175DA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>#1 Jane Cox motioned to approve.  Tricia Niesz seconded the motion.  Motion passed unanimously.</w:t>
            </w:r>
          </w:p>
          <w:p w:rsidR="000175DA" w:rsidRPr="00535AF3" w:rsidRDefault="000175DA" w:rsidP="00661B95">
            <w:pPr>
              <w:rPr>
                <w:sz w:val="22"/>
              </w:rPr>
            </w:pPr>
          </w:p>
          <w:p w:rsidR="00661B95" w:rsidRPr="00535AF3" w:rsidRDefault="00F00328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 xml:space="preserve">#2.Drew Tiene motioned to approve these changes with the one revision.  Ellen Glickman seconded the motion.  </w:t>
            </w:r>
          </w:p>
          <w:p w:rsidR="00F00328" w:rsidRPr="00535AF3" w:rsidRDefault="00F00328" w:rsidP="00661B95">
            <w:pPr>
              <w:rPr>
                <w:sz w:val="22"/>
              </w:rPr>
            </w:pPr>
            <w:r w:rsidRPr="00535AF3">
              <w:rPr>
                <w:sz w:val="22"/>
              </w:rPr>
              <w:t xml:space="preserve">Motion passed unanimously.  </w:t>
            </w:r>
          </w:p>
          <w:p w:rsidR="00F00328" w:rsidRPr="00535AF3" w:rsidRDefault="00F00328" w:rsidP="00661B95">
            <w:pPr>
              <w:rPr>
                <w:sz w:val="22"/>
              </w:rPr>
            </w:pPr>
          </w:p>
          <w:p w:rsidR="00F00328" w:rsidRPr="00535AF3" w:rsidRDefault="00F00328" w:rsidP="00661B95">
            <w:pPr>
              <w:rPr>
                <w:sz w:val="22"/>
              </w:rPr>
            </w:pPr>
          </w:p>
        </w:tc>
      </w:tr>
    </w:tbl>
    <w:p w:rsidR="00661B95" w:rsidRPr="00535AF3" w:rsidRDefault="00661B95" w:rsidP="00661B95">
      <w:pPr>
        <w:rPr>
          <w:sz w:val="22"/>
        </w:rPr>
      </w:pPr>
    </w:p>
    <w:p w:rsidR="00661B95" w:rsidRPr="00535AF3" w:rsidRDefault="00661B95" w:rsidP="00661B95">
      <w:pPr>
        <w:rPr>
          <w:sz w:val="22"/>
        </w:rPr>
      </w:pPr>
      <w:r w:rsidRPr="00535AF3">
        <w:rPr>
          <w:sz w:val="22"/>
        </w:rPr>
        <w:t>The meeting was adjourned at</w:t>
      </w:r>
      <w:r w:rsidR="007D054F" w:rsidRPr="00535AF3">
        <w:rPr>
          <w:sz w:val="22"/>
        </w:rPr>
        <w:t xml:space="preserve"> 2:40pm</w:t>
      </w:r>
    </w:p>
    <w:p w:rsidR="00661B95" w:rsidRPr="00535AF3" w:rsidRDefault="00661B95" w:rsidP="00661B95">
      <w:pPr>
        <w:rPr>
          <w:b/>
          <w:sz w:val="22"/>
        </w:rPr>
      </w:pPr>
      <w:r w:rsidRPr="00535AF3">
        <w:rPr>
          <w:sz w:val="22"/>
        </w:rPr>
        <w:t>Next meeting:</w:t>
      </w:r>
      <w:r w:rsidR="008C0AC9" w:rsidRPr="00535AF3">
        <w:rPr>
          <w:sz w:val="22"/>
        </w:rPr>
        <w:t xml:space="preserve">  </w:t>
      </w:r>
      <w:r w:rsidR="004864BD" w:rsidRPr="00535AF3">
        <w:rPr>
          <w:b/>
          <w:sz w:val="22"/>
        </w:rPr>
        <w:t>Tuesday, Nov. 19</w:t>
      </w:r>
      <w:r w:rsidR="004864BD" w:rsidRPr="00535AF3">
        <w:rPr>
          <w:b/>
          <w:sz w:val="22"/>
          <w:vertAlign w:val="superscript"/>
        </w:rPr>
        <w:t>th</w:t>
      </w:r>
      <w:r w:rsidR="004864BD" w:rsidRPr="00535AF3">
        <w:rPr>
          <w:b/>
          <w:sz w:val="22"/>
        </w:rPr>
        <w:t xml:space="preserve">, </w:t>
      </w:r>
      <w:r w:rsidR="004864BD" w:rsidRPr="00535AF3">
        <w:rPr>
          <w:b/>
          <w:sz w:val="22"/>
          <w:highlight w:val="yellow"/>
        </w:rPr>
        <w:t xml:space="preserve">10:00-11:15 am, WH – </w:t>
      </w:r>
      <w:proofErr w:type="spellStart"/>
      <w:r w:rsidR="004864BD" w:rsidRPr="00535AF3">
        <w:rPr>
          <w:b/>
          <w:sz w:val="22"/>
          <w:highlight w:val="yellow"/>
        </w:rPr>
        <w:t>Rm</w:t>
      </w:r>
      <w:proofErr w:type="spellEnd"/>
      <w:r w:rsidR="004864BD" w:rsidRPr="00535AF3">
        <w:rPr>
          <w:b/>
          <w:sz w:val="22"/>
          <w:highlight w:val="yellow"/>
        </w:rPr>
        <w:t xml:space="preserve"> 217</w:t>
      </w:r>
    </w:p>
    <w:p w:rsidR="00661B95" w:rsidRPr="00535AF3" w:rsidRDefault="00661B95" w:rsidP="00661B95">
      <w:pPr>
        <w:rPr>
          <w:sz w:val="22"/>
        </w:rPr>
      </w:pPr>
    </w:p>
    <w:p w:rsidR="00661B95" w:rsidRPr="00535AF3" w:rsidRDefault="00661B95" w:rsidP="00661B95">
      <w:pPr>
        <w:rPr>
          <w:sz w:val="22"/>
        </w:rPr>
      </w:pPr>
      <w:r w:rsidRPr="00535AF3">
        <w:rPr>
          <w:sz w:val="22"/>
        </w:rPr>
        <w:t>Respectfully submitted</w:t>
      </w:r>
    </w:p>
    <w:p w:rsidR="00661B95" w:rsidRPr="00535AF3" w:rsidRDefault="00661B95" w:rsidP="00661B95">
      <w:pPr>
        <w:rPr>
          <w:sz w:val="22"/>
        </w:rPr>
      </w:pPr>
      <w:r w:rsidRPr="00535AF3">
        <w:rPr>
          <w:sz w:val="22"/>
        </w:rPr>
        <w:t>Luci Wymer, Recorder</w:t>
      </w:r>
    </w:p>
    <w:sectPr w:rsidR="00661B95" w:rsidRPr="00535AF3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B82"/>
    <w:multiLevelType w:val="hybridMultilevel"/>
    <w:tmpl w:val="951A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67F5A"/>
    <w:multiLevelType w:val="hybridMultilevel"/>
    <w:tmpl w:val="E742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F316D"/>
    <w:multiLevelType w:val="hybridMultilevel"/>
    <w:tmpl w:val="E74AA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52DAA"/>
    <w:multiLevelType w:val="hybridMultilevel"/>
    <w:tmpl w:val="F83C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4C1A59"/>
    <w:multiLevelType w:val="hybridMultilevel"/>
    <w:tmpl w:val="ECD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B95"/>
    <w:rsid w:val="000175DA"/>
    <w:rsid w:val="00122A9D"/>
    <w:rsid w:val="00191E12"/>
    <w:rsid w:val="001D2A79"/>
    <w:rsid w:val="001D5B53"/>
    <w:rsid w:val="001E4D13"/>
    <w:rsid w:val="001E5E77"/>
    <w:rsid w:val="0020225C"/>
    <w:rsid w:val="002451BA"/>
    <w:rsid w:val="00285CB0"/>
    <w:rsid w:val="003078BA"/>
    <w:rsid w:val="0033016D"/>
    <w:rsid w:val="004035E6"/>
    <w:rsid w:val="00431868"/>
    <w:rsid w:val="004864BD"/>
    <w:rsid w:val="00535AF3"/>
    <w:rsid w:val="0059197D"/>
    <w:rsid w:val="00620E08"/>
    <w:rsid w:val="00661B95"/>
    <w:rsid w:val="006655C2"/>
    <w:rsid w:val="006930C6"/>
    <w:rsid w:val="007057C5"/>
    <w:rsid w:val="00762A58"/>
    <w:rsid w:val="007D054F"/>
    <w:rsid w:val="00836829"/>
    <w:rsid w:val="008C0AC9"/>
    <w:rsid w:val="008D00A8"/>
    <w:rsid w:val="00935B68"/>
    <w:rsid w:val="00946DD8"/>
    <w:rsid w:val="00990404"/>
    <w:rsid w:val="00A60E98"/>
    <w:rsid w:val="00AA4D6B"/>
    <w:rsid w:val="00B223A2"/>
    <w:rsid w:val="00BF7F32"/>
    <w:rsid w:val="00C2077D"/>
    <w:rsid w:val="00C84FAC"/>
    <w:rsid w:val="00CB2728"/>
    <w:rsid w:val="00D36765"/>
    <w:rsid w:val="00EE0D53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Kent User</cp:lastModifiedBy>
  <cp:revision>32</cp:revision>
  <cp:lastPrinted>2013-11-14T17:18:00Z</cp:lastPrinted>
  <dcterms:created xsi:type="dcterms:W3CDTF">2013-10-25T15:04:00Z</dcterms:created>
  <dcterms:modified xsi:type="dcterms:W3CDTF">2013-11-14T17:20:00Z</dcterms:modified>
</cp:coreProperties>
</file>