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C2" w:rsidRDefault="00661B95" w:rsidP="00661B95">
      <w:pPr>
        <w:jc w:val="center"/>
      </w:pPr>
      <w:r w:rsidRPr="00661B95">
        <w:rPr>
          <w:noProof/>
        </w:rPr>
        <w:drawing>
          <wp:inline distT="0" distB="0" distL="0" distR="0">
            <wp:extent cx="1952972" cy="600075"/>
            <wp:effectExtent l="19050" t="0" r="917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72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B95" w:rsidRDefault="00661B95" w:rsidP="00661B95">
      <w:pPr>
        <w:jc w:val="center"/>
      </w:pPr>
    </w:p>
    <w:p w:rsidR="00661B95" w:rsidRPr="00002EEC" w:rsidRDefault="00661B95" w:rsidP="00661B95">
      <w:pPr>
        <w:tabs>
          <w:tab w:val="center" w:pos="3960"/>
        </w:tabs>
        <w:jc w:val="center"/>
        <w:rPr>
          <w:b/>
          <w:bCs/>
          <w:sz w:val="22"/>
        </w:rPr>
      </w:pPr>
      <w:r w:rsidRPr="00002EEC">
        <w:rPr>
          <w:b/>
          <w:bCs/>
          <w:sz w:val="22"/>
        </w:rPr>
        <w:t xml:space="preserve">COLLEGE </w:t>
      </w:r>
      <w:r>
        <w:rPr>
          <w:b/>
          <w:bCs/>
          <w:sz w:val="22"/>
        </w:rPr>
        <w:t xml:space="preserve">AND GRADUATE SCHOOL </w:t>
      </w:r>
      <w:r w:rsidRPr="00002EEC">
        <w:rPr>
          <w:b/>
          <w:bCs/>
          <w:sz w:val="22"/>
        </w:rPr>
        <w:t>OF EDUCATION</w:t>
      </w:r>
      <w:r>
        <w:rPr>
          <w:b/>
          <w:bCs/>
          <w:sz w:val="22"/>
        </w:rPr>
        <w:t>, HEALTH, AND HUMAN SERVICES</w:t>
      </w:r>
    </w:p>
    <w:p w:rsidR="00661B95" w:rsidRDefault="00661B95" w:rsidP="00661B95">
      <w:pPr>
        <w:jc w:val="center"/>
        <w:rPr>
          <w:sz w:val="22"/>
        </w:rPr>
      </w:pPr>
      <w:r w:rsidRPr="00002EEC">
        <w:rPr>
          <w:sz w:val="22"/>
        </w:rPr>
        <w:t>Office of the Associate Dean for Administrative Affairs and Graduate Education</w:t>
      </w:r>
    </w:p>
    <w:p w:rsidR="00661B95" w:rsidRPr="00BC6645" w:rsidRDefault="007057C5" w:rsidP="00661B95">
      <w:pPr>
        <w:jc w:val="center"/>
        <w:rPr>
          <w:b/>
          <w:sz w:val="22"/>
        </w:rPr>
      </w:pPr>
      <w:r w:rsidRPr="00BC6645">
        <w:rPr>
          <w:b/>
          <w:sz w:val="22"/>
        </w:rPr>
        <w:t>GRADUATE PROGRAM COORDINATORS MEETING</w:t>
      </w:r>
    </w:p>
    <w:p w:rsidR="00661B95" w:rsidRPr="00661B95" w:rsidRDefault="00156C17" w:rsidP="00661B95">
      <w:pPr>
        <w:jc w:val="center"/>
        <w:rPr>
          <w:b/>
          <w:color w:val="FF0000"/>
          <w:sz w:val="22"/>
        </w:rPr>
      </w:pPr>
      <w:r w:rsidRPr="00BC6645">
        <w:rPr>
          <w:b/>
          <w:sz w:val="22"/>
        </w:rPr>
        <w:t>March 11, 2011</w:t>
      </w:r>
    </w:p>
    <w:p w:rsidR="00BC6645" w:rsidRPr="00BB3F7E" w:rsidRDefault="00BC6645" w:rsidP="00BC6645">
      <w:pPr>
        <w:rPr>
          <w:sz w:val="18"/>
          <w:szCs w:val="18"/>
        </w:rPr>
      </w:pPr>
      <w:r w:rsidRPr="00BB3F7E">
        <w:rPr>
          <w:sz w:val="18"/>
          <w:szCs w:val="18"/>
        </w:rPr>
        <w:t>MEMBERS ATTENDING: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4"/>
        <w:gridCol w:w="2574"/>
        <w:gridCol w:w="2574"/>
        <w:gridCol w:w="2574"/>
      </w:tblGrid>
      <w:tr w:rsidR="00BC6645" w:rsidRPr="00BB3F7E" w:rsidTr="00BC6645">
        <w:tc>
          <w:tcPr>
            <w:tcW w:w="2574" w:type="dxa"/>
          </w:tcPr>
          <w:p w:rsidR="00BC6645" w:rsidRPr="00BB3F7E" w:rsidRDefault="00BC6645" w:rsidP="00BC6645">
            <w:pPr>
              <w:jc w:val="center"/>
              <w:rPr>
                <w:b/>
                <w:sz w:val="18"/>
                <w:szCs w:val="18"/>
              </w:rPr>
            </w:pPr>
            <w:r w:rsidRPr="00BB3F7E">
              <w:rPr>
                <w:b/>
                <w:sz w:val="18"/>
                <w:szCs w:val="18"/>
              </w:rPr>
              <w:t>FLA</w:t>
            </w:r>
          </w:p>
        </w:tc>
        <w:tc>
          <w:tcPr>
            <w:tcW w:w="2574" w:type="dxa"/>
          </w:tcPr>
          <w:p w:rsidR="00BC6645" w:rsidRPr="00BB3F7E" w:rsidRDefault="00BC6645" w:rsidP="00BC6645">
            <w:pPr>
              <w:jc w:val="center"/>
              <w:rPr>
                <w:b/>
                <w:sz w:val="18"/>
                <w:szCs w:val="18"/>
              </w:rPr>
            </w:pPr>
            <w:r w:rsidRPr="00BB3F7E">
              <w:rPr>
                <w:b/>
                <w:sz w:val="18"/>
                <w:szCs w:val="18"/>
              </w:rPr>
              <w:t>HS</w:t>
            </w:r>
          </w:p>
        </w:tc>
        <w:tc>
          <w:tcPr>
            <w:tcW w:w="2574" w:type="dxa"/>
          </w:tcPr>
          <w:p w:rsidR="00BC6645" w:rsidRPr="00BB3F7E" w:rsidRDefault="00BC6645" w:rsidP="00BC6645">
            <w:pPr>
              <w:jc w:val="center"/>
              <w:rPr>
                <w:b/>
                <w:sz w:val="18"/>
                <w:szCs w:val="18"/>
              </w:rPr>
            </w:pPr>
            <w:r w:rsidRPr="00BB3F7E">
              <w:rPr>
                <w:b/>
                <w:sz w:val="18"/>
                <w:szCs w:val="18"/>
              </w:rPr>
              <w:t>LDES</w:t>
            </w:r>
          </w:p>
        </w:tc>
        <w:tc>
          <w:tcPr>
            <w:tcW w:w="2574" w:type="dxa"/>
          </w:tcPr>
          <w:p w:rsidR="00BC6645" w:rsidRPr="00BB3F7E" w:rsidRDefault="00BC6645" w:rsidP="00BC6645">
            <w:pPr>
              <w:jc w:val="center"/>
              <w:rPr>
                <w:b/>
                <w:sz w:val="18"/>
                <w:szCs w:val="18"/>
              </w:rPr>
            </w:pPr>
            <w:r w:rsidRPr="00BB3F7E">
              <w:rPr>
                <w:b/>
                <w:sz w:val="18"/>
                <w:szCs w:val="18"/>
              </w:rPr>
              <w:t>TLC</w:t>
            </w:r>
          </w:p>
        </w:tc>
      </w:tr>
      <w:tr w:rsidR="00BC6645" w:rsidRPr="00BB3F7E" w:rsidTr="00BC6645">
        <w:trPr>
          <w:trHeight w:val="233"/>
        </w:trPr>
        <w:tc>
          <w:tcPr>
            <w:tcW w:w="2574" w:type="dxa"/>
            <w:shd w:val="clear" w:color="auto" w:fill="auto"/>
          </w:tcPr>
          <w:p w:rsidR="00BC6645" w:rsidRPr="00BB3F7E" w:rsidRDefault="00BC6645" w:rsidP="00BC6645">
            <w:pPr>
              <w:rPr>
                <w:sz w:val="18"/>
                <w:szCs w:val="18"/>
              </w:rPr>
            </w:pPr>
            <w:r w:rsidRPr="00BB3F7E">
              <w:rPr>
                <w:sz w:val="18"/>
                <w:szCs w:val="18"/>
              </w:rPr>
              <w:t>Hackney, Cathy</w:t>
            </w:r>
          </w:p>
        </w:tc>
        <w:tc>
          <w:tcPr>
            <w:tcW w:w="2574" w:type="dxa"/>
            <w:shd w:val="clear" w:color="auto" w:fill="auto"/>
          </w:tcPr>
          <w:p w:rsidR="00BC6645" w:rsidRPr="00BB3F7E" w:rsidRDefault="00BC6645" w:rsidP="00BC6645">
            <w:pPr>
              <w:rPr>
                <w:sz w:val="18"/>
                <w:szCs w:val="18"/>
              </w:rPr>
            </w:pPr>
            <w:r w:rsidRPr="00BB3F7E">
              <w:rPr>
                <w:sz w:val="18"/>
                <w:szCs w:val="18"/>
              </w:rPr>
              <w:t>Glickman, Ellen</w:t>
            </w:r>
          </w:p>
        </w:tc>
        <w:tc>
          <w:tcPr>
            <w:tcW w:w="2574" w:type="dxa"/>
            <w:shd w:val="clear" w:color="auto" w:fill="auto"/>
          </w:tcPr>
          <w:p w:rsidR="00BC6645" w:rsidRPr="00BB3F7E" w:rsidRDefault="00BC6645" w:rsidP="00BC6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Barton, Lyle</w:t>
            </w:r>
          </w:p>
        </w:tc>
        <w:tc>
          <w:tcPr>
            <w:tcW w:w="2574" w:type="dxa"/>
            <w:shd w:val="clear" w:color="auto" w:fill="auto"/>
          </w:tcPr>
          <w:p w:rsidR="00BC6645" w:rsidRPr="00BB3F7E" w:rsidRDefault="00BC6645" w:rsidP="00BC6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Kroeger, Janice</w:t>
            </w:r>
          </w:p>
        </w:tc>
      </w:tr>
      <w:tr w:rsidR="00BC6645" w:rsidRPr="00BB3F7E" w:rsidTr="00BC6645">
        <w:trPr>
          <w:trHeight w:val="233"/>
        </w:trPr>
        <w:tc>
          <w:tcPr>
            <w:tcW w:w="2574" w:type="dxa"/>
            <w:shd w:val="clear" w:color="auto" w:fill="auto"/>
          </w:tcPr>
          <w:p w:rsidR="00BC6645" w:rsidRPr="00BB3F7E" w:rsidRDefault="00BC6645" w:rsidP="00BC6645">
            <w:pPr>
              <w:rPr>
                <w:sz w:val="18"/>
                <w:szCs w:val="18"/>
              </w:rPr>
            </w:pPr>
            <w:r w:rsidRPr="00BB3F7E">
              <w:rPr>
                <w:sz w:val="18"/>
                <w:szCs w:val="18"/>
              </w:rPr>
              <w:t>Kretovics, Mark</w:t>
            </w:r>
          </w:p>
        </w:tc>
        <w:tc>
          <w:tcPr>
            <w:tcW w:w="2574" w:type="dxa"/>
            <w:shd w:val="clear" w:color="auto" w:fill="auto"/>
          </w:tcPr>
          <w:p w:rsidR="00BC6645" w:rsidRPr="00BB3F7E" w:rsidRDefault="00BC6645" w:rsidP="00BC6645">
            <w:pPr>
              <w:rPr>
                <w:sz w:val="18"/>
                <w:szCs w:val="18"/>
              </w:rPr>
            </w:pPr>
            <w:r w:rsidRPr="00BB3F7E">
              <w:rPr>
                <w:sz w:val="18"/>
                <w:szCs w:val="18"/>
              </w:rPr>
              <w:t>Gordon, Karen</w:t>
            </w:r>
          </w:p>
        </w:tc>
        <w:tc>
          <w:tcPr>
            <w:tcW w:w="2574" w:type="dxa"/>
            <w:shd w:val="clear" w:color="auto" w:fill="auto"/>
          </w:tcPr>
          <w:p w:rsidR="00BC6645" w:rsidRPr="00BB3F7E" w:rsidRDefault="00BC6645" w:rsidP="00BC6645">
            <w:pPr>
              <w:rPr>
                <w:sz w:val="18"/>
                <w:szCs w:val="18"/>
              </w:rPr>
            </w:pPr>
            <w:r w:rsidRPr="00BB3F7E">
              <w:rPr>
                <w:sz w:val="18"/>
                <w:szCs w:val="18"/>
              </w:rPr>
              <w:t>Cowan, Richard</w:t>
            </w:r>
          </w:p>
        </w:tc>
        <w:tc>
          <w:tcPr>
            <w:tcW w:w="2574" w:type="dxa"/>
            <w:shd w:val="clear" w:color="auto" w:fill="auto"/>
          </w:tcPr>
          <w:p w:rsidR="00BC6645" w:rsidRPr="00BB3F7E" w:rsidRDefault="00BC6645" w:rsidP="00BC6645">
            <w:pPr>
              <w:rPr>
                <w:sz w:val="18"/>
                <w:szCs w:val="18"/>
              </w:rPr>
            </w:pPr>
          </w:p>
        </w:tc>
      </w:tr>
      <w:tr w:rsidR="00BC6645" w:rsidRPr="00BB3F7E" w:rsidTr="00BC6645">
        <w:tc>
          <w:tcPr>
            <w:tcW w:w="2574" w:type="dxa"/>
            <w:shd w:val="clear" w:color="auto" w:fill="auto"/>
          </w:tcPr>
          <w:p w:rsidR="00BC6645" w:rsidRPr="00BB3F7E" w:rsidRDefault="00BC6645" w:rsidP="00BC6645">
            <w:pPr>
              <w:rPr>
                <w:sz w:val="18"/>
                <w:szCs w:val="18"/>
              </w:rPr>
            </w:pPr>
            <w:r w:rsidRPr="00BB3F7E">
              <w:rPr>
                <w:sz w:val="18"/>
                <w:szCs w:val="18"/>
              </w:rPr>
              <w:t>McClelland, Averil</w:t>
            </w:r>
          </w:p>
        </w:tc>
        <w:tc>
          <w:tcPr>
            <w:tcW w:w="2574" w:type="dxa"/>
            <w:shd w:val="clear" w:color="auto" w:fill="auto"/>
          </w:tcPr>
          <w:p w:rsidR="00BC6645" w:rsidRPr="00BB3F7E" w:rsidRDefault="00BC6645" w:rsidP="00BC6645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</w:tcPr>
          <w:p w:rsidR="00BC6645" w:rsidRPr="00BB3F7E" w:rsidRDefault="00BC6645" w:rsidP="00BC6645">
            <w:pPr>
              <w:rPr>
                <w:sz w:val="18"/>
                <w:szCs w:val="18"/>
              </w:rPr>
            </w:pPr>
            <w:r w:rsidRPr="00BB3F7E">
              <w:rPr>
                <w:sz w:val="18"/>
                <w:szCs w:val="18"/>
              </w:rPr>
              <w:t>McGlothlin, Jason</w:t>
            </w:r>
          </w:p>
        </w:tc>
        <w:tc>
          <w:tcPr>
            <w:tcW w:w="2574" w:type="dxa"/>
            <w:shd w:val="clear" w:color="auto" w:fill="auto"/>
          </w:tcPr>
          <w:p w:rsidR="00BC6645" w:rsidRPr="00BB3F7E" w:rsidRDefault="00BC6645" w:rsidP="00BC6645">
            <w:pPr>
              <w:rPr>
                <w:sz w:val="18"/>
                <w:szCs w:val="18"/>
              </w:rPr>
            </w:pPr>
          </w:p>
        </w:tc>
      </w:tr>
      <w:tr w:rsidR="00BC6645" w:rsidRPr="00BB3F7E" w:rsidTr="00BC6645">
        <w:tc>
          <w:tcPr>
            <w:tcW w:w="2574" w:type="dxa"/>
            <w:shd w:val="clear" w:color="auto" w:fill="auto"/>
          </w:tcPr>
          <w:p w:rsidR="00BC6645" w:rsidRPr="00BB3F7E" w:rsidRDefault="00BC6645" w:rsidP="00BC6645">
            <w:pPr>
              <w:rPr>
                <w:sz w:val="18"/>
                <w:szCs w:val="18"/>
              </w:rPr>
            </w:pPr>
            <w:r w:rsidRPr="00BB3F7E">
              <w:rPr>
                <w:sz w:val="18"/>
                <w:szCs w:val="18"/>
              </w:rPr>
              <w:t>Niesz, Tricia</w:t>
            </w:r>
          </w:p>
        </w:tc>
        <w:tc>
          <w:tcPr>
            <w:tcW w:w="2574" w:type="dxa"/>
            <w:shd w:val="clear" w:color="auto" w:fill="auto"/>
          </w:tcPr>
          <w:p w:rsidR="00BC6645" w:rsidRPr="00BB3F7E" w:rsidRDefault="00BC6645" w:rsidP="00BC6645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</w:tcPr>
          <w:p w:rsidR="00BC6645" w:rsidRPr="00BB3F7E" w:rsidRDefault="00BC6645" w:rsidP="00BC6645">
            <w:pPr>
              <w:rPr>
                <w:sz w:val="18"/>
                <w:szCs w:val="18"/>
              </w:rPr>
            </w:pPr>
            <w:r w:rsidRPr="00BB3F7E">
              <w:rPr>
                <w:sz w:val="18"/>
                <w:szCs w:val="18"/>
              </w:rPr>
              <w:t>Richardson, Rhonda</w:t>
            </w:r>
          </w:p>
        </w:tc>
        <w:tc>
          <w:tcPr>
            <w:tcW w:w="2574" w:type="dxa"/>
            <w:shd w:val="clear" w:color="auto" w:fill="auto"/>
          </w:tcPr>
          <w:p w:rsidR="00BC6645" w:rsidRPr="00BB3F7E" w:rsidRDefault="00BC6645" w:rsidP="00BC6645">
            <w:pPr>
              <w:rPr>
                <w:sz w:val="18"/>
                <w:szCs w:val="18"/>
              </w:rPr>
            </w:pPr>
          </w:p>
        </w:tc>
      </w:tr>
      <w:tr w:rsidR="00BC6645" w:rsidRPr="00BB3F7E" w:rsidTr="00BC6645">
        <w:tc>
          <w:tcPr>
            <w:tcW w:w="2574" w:type="dxa"/>
            <w:shd w:val="clear" w:color="auto" w:fill="auto"/>
          </w:tcPr>
          <w:p w:rsidR="00BC6645" w:rsidRPr="00BB3F7E" w:rsidRDefault="00BC6645" w:rsidP="00BC6645">
            <w:pPr>
              <w:rPr>
                <w:sz w:val="18"/>
                <w:szCs w:val="18"/>
              </w:rPr>
            </w:pPr>
            <w:r w:rsidRPr="00BB3F7E">
              <w:rPr>
                <w:sz w:val="18"/>
                <w:szCs w:val="18"/>
              </w:rPr>
              <w:t>Scheule, Barb</w:t>
            </w:r>
          </w:p>
        </w:tc>
        <w:tc>
          <w:tcPr>
            <w:tcW w:w="2574" w:type="dxa"/>
            <w:shd w:val="clear" w:color="auto" w:fill="auto"/>
          </w:tcPr>
          <w:p w:rsidR="00BC6645" w:rsidRPr="00BB3F7E" w:rsidRDefault="00BC6645" w:rsidP="00BC6645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auto"/>
          </w:tcPr>
          <w:p w:rsidR="00BC6645" w:rsidRPr="00BB3F7E" w:rsidRDefault="00BC6645" w:rsidP="00BC6645">
            <w:pPr>
              <w:rPr>
                <w:sz w:val="18"/>
                <w:szCs w:val="18"/>
              </w:rPr>
            </w:pPr>
            <w:r w:rsidRPr="00BB3F7E">
              <w:rPr>
                <w:sz w:val="18"/>
                <w:szCs w:val="18"/>
              </w:rPr>
              <w:t>West, John</w:t>
            </w:r>
          </w:p>
        </w:tc>
        <w:tc>
          <w:tcPr>
            <w:tcW w:w="2574" w:type="dxa"/>
            <w:shd w:val="clear" w:color="auto" w:fill="auto"/>
          </w:tcPr>
          <w:p w:rsidR="00BC6645" w:rsidRPr="00BB3F7E" w:rsidRDefault="00BC6645" w:rsidP="00BC6645">
            <w:pPr>
              <w:rPr>
                <w:sz w:val="18"/>
                <w:szCs w:val="18"/>
              </w:rPr>
            </w:pPr>
          </w:p>
        </w:tc>
      </w:tr>
    </w:tbl>
    <w:p w:rsidR="00BC6645" w:rsidRPr="00BB3F7E" w:rsidRDefault="00BC6645" w:rsidP="00BC6645">
      <w:pPr>
        <w:rPr>
          <w:sz w:val="18"/>
          <w:szCs w:val="18"/>
        </w:rPr>
      </w:pPr>
      <w:r w:rsidRPr="00BB3F7E">
        <w:rPr>
          <w:sz w:val="18"/>
          <w:szCs w:val="18"/>
        </w:rPr>
        <w:t xml:space="preserve">Nancy Barbour, Admin. Affairs; Nancy Miller, OGSS; </w:t>
      </w:r>
      <w:r>
        <w:rPr>
          <w:sz w:val="18"/>
          <w:szCs w:val="18"/>
        </w:rPr>
        <w:t>Luci Wymer, Recorder</w:t>
      </w:r>
    </w:p>
    <w:p w:rsidR="00BC6645" w:rsidRPr="00BB3F7E" w:rsidRDefault="00BC6645" w:rsidP="00BC6645">
      <w:pPr>
        <w:rPr>
          <w:sz w:val="18"/>
          <w:szCs w:val="18"/>
        </w:rPr>
      </w:pPr>
    </w:p>
    <w:p w:rsidR="00BC6645" w:rsidRPr="00BB3F7E" w:rsidRDefault="00BC6645" w:rsidP="00BC6645">
      <w:pPr>
        <w:rPr>
          <w:sz w:val="18"/>
          <w:szCs w:val="18"/>
        </w:rPr>
      </w:pPr>
      <w:r w:rsidRPr="00BB3F7E">
        <w:rPr>
          <w:sz w:val="18"/>
          <w:szCs w:val="18"/>
        </w:rPr>
        <w:t>MEMBERS ABSENT: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4"/>
        <w:gridCol w:w="2574"/>
        <w:gridCol w:w="2574"/>
        <w:gridCol w:w="2574"/>
      </w:tblGrid>
      <w:tr w:rsidR="00BC6645" w:rsidRPr="00BB3F7E" w:rsidTr="00BC6645">
        <w:trPr>
          <w:trHeight w:val="260"/>
        </w:trPr>
        <w:tc>
          <w:tcPr>
            <w:tcW w:w="2574" w:type="dxa"/>
          </w:tcPr>
          <w:p w:rsidR="00BC6645" w:rsidRPr="00BB3F7E" w:rsidRDefault="00BC6645" w:rsidP="00BC6645">
            <w:pPr>
              <w:jc w:val="center"/>
              <w:rPr>
                <w:b/>
                <w:sz w:val="18"/>
                <w:szCs w:val="18"/>
              </w:rPr>
            </w:pPr>
            <w:r w:rsidRPr="00BB3F7E">
              <w:rPr>
                <w:b/>
                <w:sz w:val="18"/>
                <w:szCs w:val="18"/>
              </w:rPr>
              <w:t>FLA</w:t>
            </w:r>
          </w:p>
        </w:tc>
        <w:tc>
          <w:tcPr>
            <w:tcW w:w="2574" w:type="dxa"/>
          </w:tcPr>
          <w:p w:rsidR="00BC6645" w:rsidRPr="00BB3F7E" w:rsidRDefault="00BC6645" w:rsidP="00BC6645">
            <w:pPr>
              <w:jc w:val="center"/>
              <w:rPr>
                <w:b/>
                <w:sz w:val="18"/>
                <w:szCs w:val="18"/>
              </w:rPr>
            </w:pPr>
            <w:r w:rsidRPr="00BB3F7E">
              <w:rPr>
                <w:b/>
                <w:sz w:val="18"/>
                <w:szCs w:val="18"/>
              </w:rPr>
              <w:t>HS</w:t>
            </w:r>
          </w:p>
        </w:tc>
        <w:tc>
          <w:tcPr>
            <w:tcW w:w="2574" w:type="dxa"/>
          </w:tcPr>
          <w:p w:rsidR="00BC6645" w:rsidRPr="00BB3F7E" w:rsidRDefault="00BC6645" w:rsidP="00BC6645">
            <w:pPr>
              <w:jc w:val="center"/>
              <w:rPr>
                <w:b/>
                <w:sz w:val="18"/>
                <w:szCs w:val="18"/>
              </w:rPr>
            </w:pPr>
            <w:r w:rsidRPr="00BB3F7E">
              <w:rPr>
                <w:b/>
                <w:sz w:val="18"/>
                <w:szCs w:val="18"/>
              </w:rPr>
              <w:t>LDES</w:t>
            </w:r>
          </w:p>
        </w:tc>
        <w:tc>
          <w:tcPr>
            <w:tcW w:w="2574" w:type="dxa"/>
          </w:tcPr>
          <w:p w:rsidR="00BC6645" w:rsidRPr="00BB3F7E" w:rsidRDefault="00BC6645" w:rsidP="00BC6645">
            <w:pPr>
              <w:jc w:val="center"/>
              <w:rPr>
                <w:b/>
                <w:sz w:val="18"/>
                <w:szCs w:val="18"/>
              </w:rPr>
            </w:pPr>
            <w:r w:rsidRPr="00BB3F7E">
              <w:rPr>
                <w:b/>
                <w:sz w:val="18"/>
                <w:szCs w:val="18"/>
              </w:rPr>
              <w:t>TLC</w:t>
            </w:r>
          </w:p>
        </w:tc>
      </w:tr>
      <w:tr w:rsidR="00BC6645" w:rsidRPr="00BB3F7E" w:rsidTr="00BC6645">
        <w:trPr>
          <w:trHeight w:val="233"/>
        </w:trPr>
        <w:tc>
          <w:tcPr>
            <w:tcW w:w="2574" w:type="dxa"/>
          </w:tcPr>
          <w:p w:rsidR="00BC6645" w:rsidRPr="00BB3F7E" w:rsidRDefault="00BC6645" w:rsidP="00BC6645">
            <w:pPr>
              <w:rPr>
                <w:sz w:val="18"/>
                <w:szCs w:val="18"/>
              </w:rPr>
            </w:pPr>
            <w:r w:rsidRPr="00BB3F7E">
              <w:rPr>
                <w:sz w:val="18"/>
                <w:szCs w:val="18"/>
              </w:rPr>
              <w:t>Devine, Mary Ann</w:t>
            </w:r>
          </w:p>
        </w:tc>
        <w:tc>
          <w:tcPr>
            <w:tcW w:w="2574" w:type="dxa"/>
          </w:tcPr>
          <w:p w:rsidR="00BC6645" w:rsidRPr="00BB3F7E" w:rsidRDefault="00BC6645" w:rsidP="00BC6645">
            <w:pPr>
              <w:rPr>
                <w:sz w:val="18"/>
                <w:szCs w:val="18"/>
              </w:rPr>
            </w:pPr>
            <w:r w:rsidRPr="00BB3F7E">
              <w:rPr>
                <w:sz w:val="18"/>
                <w:szCs w:val="18"/>
              </w:rPr>
              <w:t>Hawks, John</w:t>
            </w:r>
          </w:p>
        </w:tc>
        <w:tc>
          <w:tcPr>
            <w:tcW w:w="2574" w:type="dxa"/>
          </w:tcPr>
          <w:p w:rsidR="00BC6645" w:rsidRPr="00BB3F7E" w:rsidRDefault="00BC6645" w:rsidP="00BC6645">
            <w:pPr>
              <w:rPr>
                <w:sz w:val="18"/>
                <w:szCs w:val="18"/>
              </w:rPr>
            </w:pPr>
            <w:r w:rsidRPr="00BB3F7E">
              <w:rPr>
                <w:sz w:val="18"/>
                <w:szCs w:val="18"/>
              </w:rPr>
              <w:t>Rumrill, Phil</w:t>
            </w:r>
          </w:p>
        </w:tc>
        <w:tc>
          <w:tcPr>
            <w:tcW w:w="2574" w:type="dxa"/>
          </w:tcPr>
          <w:p w:rsidR="00BC6645" w:rsidRPr="00BB3F7E" w:rsidRDefault="00BC6645" w:rsidP="00BC6645">
            <w:pPr>
              <w:rPr>
                <w:sz w:val="18"/>
                <w:szCs w:val="18"/>
              </w:rPr>
            </w:pPr>
            <w:r w:rsidRPr="00BB3F7E">
              <w:rPr>
                <w:sz w:val="18"/>
                <w:szCs w:val="18"/>
              </w:rPr>
              <w:t>Brooks, Bette</w:t>
            </w:r>
          </w:p>
        </w:tc>
      </w:tr>
      <w:tr w:rsidR="00BC6645" w:rsidRPr="00BB3F7E" w:rsidTr="00BC6645">
        <w:tc>
          <w:tcPr>
            <w:tcW w:w="2574" w:type="dxa"/>
          </w:tcPr>
          <w:p w:rsidR="00BC6645" w:rsidRPr="00BB3F7E" w:rsidRDefault="00BC6645" w:rsidP="00BC6645">
            <w:pPr>
              <w:rPr>
                <w:sz w:val="18"/>
                <w:szCs w:val="18"/>
              </w:rPr>
            </w:pPr>
            <w:r w:rsidRPr="00BB3F7E">
              <w:rPr>
                <w:sz w:val="18"/>
                <w:szCs w:val="18"/>
              </w:rPr>
              <w:t>Lyberger, Mark</w:t>
            </w:r>
          </w:p>
        </w:tc>
        <w:tc>
          <w:tcPr>
            <w:tcW w:w="2574" w:type="dxa"/>
          </w:tcPr>
          <w:p w:rsidR="00BC6645" w:rsidRPr="00BB3F7E" w:rsidRDefault="00BC6645" w:rsidP="00BC6645">
            <w:pPr>
              <w:rPr>
                <w:sz w:val="18"/>
                <w:szCs w:val="18"/>
              </w:rPr>
            </w:pPr>
            <w:r w:rsidRPr="00BB3F7E">
              <w:rPr>
                <w:sz w:val="18"/>
                <w:szCs w:val="18"/>
              </w:rPr>
              <w:t>Kerr, Dianne</w:t>
            </w:r>
          </w:p>
        </w:tc>
        <w:tc>
          <w:tcPr>
            <w:tcW w:w="2574" w:type="dxa"/>
          </w:tcPr>
          <w:p w:rsidR="00BC6645" w:rsidRPr="00BB3F7E" w:rsidRDefault="00BC6645" w:rsidP="00BC6645">
            <w:pPr>
              <w:rPr>
                <w:sz w:val="18"/>
                <w:szCs w:val="18"/>
              </w:rPr>
            </w:pPr>
            <w:r w:rsidRPr="00BB3F7E">
              <w:rPr>
                <w:sz w:val="18"/>
                <w:szCs w:val="18"/>
              </w:rPr>
              <w:t>Tiene, Drew</w:t>
            </w:r>
          </w:p>
        </w:tc>
        <w:tc>
          <w:tcPr>
            <w:tcW w:w="2574" w:type="dxa"/>
          </w:tcPr>
          <w:p w:rsidR="00BC6645" w:rsidRPr="00BB3F7E" w:rsidRDefault="00BC6645" w:rsidP="00BC6645">
            <w:pPr>
              <w:rPr>
                <w:sz w:val="18"/>
                <w:szCs w:val="18"/>
              </w:rPr>
            </w:pPr>
            <w:r w:rsidRPr="00BB3F7E">
              <w:rPr>
                <w:sz w:val="18"/>
                <w:szCs w:val="18"/>
              </w:rPr>
              <w:t>Collier, Connie</w:t>
            </w:r>
          </w:p>
        </w:tc>
      </w:tr>
      <w:tr w:rsidR="00BC6645" w:rsidRPr="00BB3F7E" w:rsidTr="00BC6645">
        <w:tc>
          <w:tcPr>
            <w:tcW w:w="2574" w:type="dxa"/>
          </w:tcPr>
          <w:p w:rsidR="00BC6645" w:rsidRPr="00BB3F7E" w:rsidRDefault="00BC6645" w:rsidP="00BC6645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BC6645" w:rsidRPr="00BB3F7E" w:rsidRDefault="00BC6645" w:rsidP="00BC6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Cary Hale for </w:t>
            </w:r>
            <w:r w:rsidRPr="00BB3F7E">
              <w:rPr>
                <w:sz w:val="18"/>
                <w:szCs w:val="18"/>
              </w:rPr>
              <w:t>Peer, Kim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74" w:type="dxa"/>
          </w:tcPr>
          <w:p w:rsidR="00BC6645" w:rsidRPr="00BB3F7E" w:rsidRDefault="00BC6645" w:rsidP="00BC6645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BC6645" w:rsidRPr="00BB3F7E" w:rsidRDefault="00BC6645" w:rsidP="00BC6645">
            <w:pPr>
              <w:rPr>
                <w:sz w:val="18"/>
                <w:szCs w:val="18"/>
              </w:rPr>
            </w:pPr>
            <w:r w:rsidRPr="00BB3F7E">
              <w:rPr>
                <w:sz w:val="18"/>
                <w:szCs w:val="18"/>
              </w:rPr>
              <w:t>Hutchison, Janice</w:t>
            </w:r>
          </w:p>
        </w:tc>
      </w:tr>
      <w:tr w:rsidR="00BC6645" w:rsidRPr="00BB3F7E" w:rsidTr="00BC6645">
        <w:tc>
          <w:tcPr>
            <w:tcW w:w="2574" w:type="dxa"/>
          </w:tcPr>
          <w:p w:rsidR="00BC6645" w:rsidRPr="00BB3F7E" w:rsidRDefault="00BC6645" w:rsidP="00BC6645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BC6645" w:rsidRDefault="00BC6645" w:rsidP="00BC6645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BC6645" w:rsidRPr="00BB3F7E" w:rsidRDefault="00BC6645" w:rsidP="00BC6645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BC6645" w:rsidRPr="00BB3F7E" w:rsidRDefault="00BC6645" w:rsidP="00BC6645">
            <w:pPr>
              <w:rPr>
                <w:sz w:val="18"/>
                <w:szCs w:val="18"/>
              </w:rPr>
            </w:pPr>
            <w:r w:rsidRPr="00BB3F7E">
              <w:rPr>
                <w:sz w:val="18"/>
                <w:szCs w:val="18"/>
              </w:rPr>
              <w:t>Henderson, Jim</w:t>
            </w:r>
          </w:p>
        </w:tc>
      </w:tr>
      <w:tr w:rsidR="00BC6645" w:rsidRPr="00BB3F7E" w:rsidTr="00BC6645">
        <w:tc>
          <w:tcPr>
            <w:tcW w:w="2574" w:type="dxa"/>
          </w:tcPr>
          <w:p w:rsidR="00BC6645" w:rsidRPr="00BB3F7E" w:rsidRDefault="00BC6645" w:rsidP="00BC6645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BC6645" w:rsidRDefault="00BC6645" w:rsidP="00BC6645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BC6645" w:rsidRPr="00BB3F7E" w:rsidRDefault="00BC6645" w:rsidP="00BC6645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BC6645" w:rsidRPr="00BB3F7E" w:rsidRDefault="00BC6645" w:rsidP="00BC6645">
            <w:pPr>
              <w:rPr>
                <w:sz w:val="18"/>
                <w:szCs w:val="18"/>
              </w:rPr>
            </w:pPr>
            <w:r w:rsidRPr="00BB3F7E">
              <w:rPr>
                <w:sz w:val="18"/>
                <w:szCs w:val="18"/>
              </w:rPr>
              <w:t>Morgan, Denise</w:t>
            </w:r>
          </w:p>
        </w:tc>
      </w:tr>
      <w:tr w:rsidR="00BC6645" w:rsidRPr="00BB3F7E" w:rsidTr="00BC6645">
        <w:tc>
          <w:tcPr>
            <w:tcW w:w="2574" w:type="dxa"/>
          </w:tcPr>
          <w:p w:rsidR="00BC6645" w:rsidRPr="00BB3F7E" w:rsidRDefault="00BC6645" w:rsidP="00BC6645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BC6645" w:rsidRDefault="00BC6645" w:rsidP="00BC6645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BC6645" w:rsidRPr="00BB3F7E" w:rsidRDefault="00BC6645" w:rsidP="00BC6645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BC6645" w:rsidRPr="00BB3F7E" w:rsidRDefault="00BC6645" w:rsidP="00BC6645">
            <w:pPr>
              <w:rPr>
                <w:sz w:val="18"/>
                <w:szCs w:val="18"/>
              </w:rPr>
            </w:pPr>
            <w:r w:rsidRPr="00BB3F7E">
              <w:rPr>
                <w:sz w:val="18"/>
                <w:szCs w:val="18"/>
              </w:rPr>
              <w:t>O’Connor, Pat</w:t>
            </w:r>
          </w:p>
        </w:tc>
      </w:tr>
    </w:tbl>
    <w:p w:rsidR="00BC6645" w:rsidRPr="00BB3F7E" w:rsidRDefault="00BC6645" w:rsidP="00BC6645">
      <w:pPr>
        <w:rPr>
          <w:sz w:val="18"/>
          <w:szCs w:val="18"/>
        </w:rPr>
      </w:pPr>
      <w:r w:rsidRPr="00BB3F7E">
        <w:rPr>
          <w:sz w:val="18"/>
          <w:szCs w:val="18"/>
        </w:rPr>
        <w:t>GUESTS:</w:t>
      </w:r>
      <w:r>
        <w:rPr>
          <w:sz w:val="18"/>
          <w:szCs w:val="18"/>
        </w:rPr>
        <w:t xml:space="preserve">  None</w:t>
      </w:r>
    </w:p>
    <w:p w:rsidR="00661B95" w:rsidRDefault="00661B95" w:rsidP="00661B95"/>
    <w:tbl>
      <w:tblPr>
        <w:tblStyle w:val="TableGrid"/>
        <w:tblW w:w="11178" w:type="dxa"/>
        <w:tblLook w:val="04A0"/>
      </w:tblPr>
      <w:tblGrid>
        <w:gridCol w:w="1908"/>
        <w:gridCol w:w="6390"/>
        <w:gridCol w:w="2880"/>
      </w:tblGrid>
      <w:tr w:rsidR="00661B95" w:rsidTr="00490723">
        <w:tc>
          <w:tcPr>
            <w:tcW w:w="1908" w:type="dxa"/>
          </w:tcPr>
          <w:p w:rsidR="00661B95" w:rsidRPr="00661B95" w:rsidRDefault="00661B95" w:rsidP="00661B95">
            <w:pPr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6390" w:type="dxa"/>
          </w:tcPr>
          <w:p w:rsidR="00661B95" w:rsidRPr="00661B95" w:rsidRDefault="00661B95" w:rsidP="00661B95">
            <w:pPr>
              <w:jc w:val="center"/>
              <w:rPr>
                <w:b/>
              </w:rPr>
            </w:pPr>
            <w:r w:rsidRPr="00661B95">
              <w:rPr>
                <w:b/>
              </w:rPr>
              <w:t>DISCUSSION</w:t>
            </w:r>
          </w:p>
        </w:tc>
        <w:tc>
          <w:tcPr>
            <w:tcW w:w="2880" w:type="dxa"/>
          </w:tcPr>
          <w:p w:rsidR="00661B95" w:rsidRPr="00661B95" w:rsidRDefault="00661B95" w:rsidP="00661B95">
            <w:pPr>
              <w:jc w:val="center"/>
              <w:rPr>
                <w:b/>
              </w:rPr>
            </w:pPr>
            <w:r>
              <w:rPr>
                <w:b/>
              </w:rPr>
              <w:t>ACTION TAKEN</w:t>
            </w:r>
          </w:p>
        </w:tc>
      </w:tr>
      <w:tr w:rsidR="007B6101" w:rsidTr="00490723">
        <w:tc>
          <w:tcPr>
            <w:tcW w:w="1908" w:type="dxa"/>
          </w:tcPr>
          <w:p w:rsidR="007B6101" w:rsidRDefault="007B6101" w:rsidP="00661B95">
            <w:r>
              <w:t>GA Budget Allocations</w:t>
            </w:r>
          </w:p>
        </w:tc>
        <w:tc>
          <w:tcPr>
            <w:tcW w:w="6390" w:type="dxa"/>
          </w:tcPr>
          <w:p w:rsidR="007B6101" w:rsidRDefault="007B6101" w:rsidP="005A12F9">
            <w:r>
              <w:t xml:space="preserve">Nancy shared with the group that </w:t>
            </w:r>
            <w:r w:rsidR="00BC6645">
              <w:t xml:space="preserve">the GA budget </w:t>
            </w:r>
            <w:r>
              <w:t xml:space="preserve">allocations were sent out this morning.  </w:t>
            </w:r>
            <w:r w:rsidR="00BC6645">
              <w:t>H</w:t>
            </w:r>
            <w:r>
              <w:t>ow the sub</w:t>
            </w:r>
            <w:r w:rsidR="00BC6645">
              <w:t>-</w:t>
            </w:r>
            <w:r>
              <w:t xml:space="preserve">committee for the GA Budget Committee </w:t>
            </w:r>
            <w:r w:rsidR="00BC6645">
              <w:t>arrived at the</w:t>
            </w:r>
            <w:r>
              <w:t xml:space="preserve"> figures</w:t>
            </w:r>
            <w:r w:rsidR="00FB32C3">
              <w:t xml:space="preserve"> was explained</w:t>
            </w:r>
            <w:r>
              <w:t xml:space="preserve">.  Three factors were </w:t>
            </w:r>
            <w:r w:rsidR="00FB32C3">
              <w:t>used to arrive at the amounts:</w:t>
            </w:r>
            <w:r w:rsidR="00E81280">
              <w:t xml:space="preserve"> </w:t>
            </w:r>
            <w:r w:rsidR="00FB32C3">
              <w:t xml:space="preserve"> r</w:t>
            </w:r>
            <w:r>
              <w:t>esearch factor, student</w:t>
            </w:r>
            <w:r w:rsidR="005A12F9">
              <w:t>/faculty</w:t>
            </w:r>
            <w:r>
              <w:t xml:space="preserve"> factor</w:t>
            </w:r>
            <w:r w:rsidR="00D77D07">
              <w:t xml:space="preserve">, </w:t>
            </w:r>
            <w:r w:rsidR="005A12F9">
              <w:t>and teaching factor</w:t>
            </w:r>
            <w:r w:rsidR="00D77D07">
              <w:t xml:space="preserve">.  </w:t>
            </w:r>
            <w:r w:rsidR="00FB32C3">
              <w:t>There was a</w:t>
            </w:r>
            <w:r w:rsidR="00D77D07">
              <w:t xml:space="preserve"> brief description of each area and what was considered.  </w:t>
            </w:r>
            <w:r w:rsidR="00FB32C3">
              <w:t>M</w:t>
            </w:r>
            <w:r w:rsidR="00D064F2">
              <w:t>oney saved by having GA</w:t>
            </w:r>
            <w:r w:rsidR="00FB32C3">
              <w:t>s</w:t>
            </w:r>
            <w:r w:rsidR="00D064F2">
              <w:t xml:space="preserve"> teaching was then calculated and given back to the school.  </w:t>
            </w:r>
            <w:r w:rsidR="00FB32C3">
              <w:t xml:space="preserve">Each year the current figures will </w:t>
            </w:r>
            <w:r w:rsidR="009A775A">
              <w:t>be plugged in</w:t>
            </w:r>
            <w:r w:rsidR="00FB32C3">
              <w:t xml:space="preserve">to the </w:t>
            </w:r>
            <w:r w:rsidR="009A775A">
              <w:t>equation</w:t>
            </w:r>
            <w:r w:rsidR="00E81280">
              <w:t xml:space="preserve"> as motivation and incentive for each school</w:t>
            </w:r>
            <w:r w:rsidR="00747FB3">
              <w:t xml:space="preserve">.  </w:t>
            </w:r>
            <w:r w:rsidR="00FB32C3">
              <w:t>E</w:t>
            </w:r>
            <w:r w:rsidR="00747FB3">
              <w:t xml:space="preserve">ach school was represented on the </w:t>
            </w:r>
            <w:r w:rsidR="00FB32C3">
              <w:t>sub-</w:t>
            </w:r>
            <w:r w:rsidR="00747FB3">
              <w:t xml:space="preserve">committee. </w:t>
            </w:r>
            <w:r w:rsidR="00FB32C3">
              <w:t xml:space="preserve"> </w:t>
            </w:r>
            <w:r w:rsidR="00E81280">
              <w:t>It was e</w:t>
            </w:r>
            <w:r w:rsidR="00276FC5">
              <w:t xml:space="preserve">xplained </w:t>
            </w:r>
            <w:r w:rsidR="00E81280">
              <w:t xml:space="preserve">that because of RCM </w:t>
            </w:r>
            <w:r w:rsidR="00274182">
              <w:t>EHHS</w:t>
            </w:r>
            <w:r w:rsidR="00276FC5">
              <w:t xml:space="preserve"> no longer receiv</w:t>
            </w:r>
            <w:r w:rsidR="00E81280">
              <w:t>e</w:t>
            </w:r>
            <w:r w:rsidR="00274182">
              <w:t>s</w:t>
            </w:r>
            <w:r w:rsidR="00276FC5">
              <w:t xml:space="preserve"> funds from Graduate Studies</w:t>
            </w:r>
            <w:r w:rsidR="00E81280">
              <w:t xml:space="preserve"> for GAs.  Instead </w:t>
            </w:r>
            <w:r w:rsidR="00276FC5">
              <w:t>the</w:t>
            </w:r>
            <w:r w:rsidR="00E81280">
              <w:t xml:space="preserve"> approximately</w:t>
            </w:r>
            <w:r w:rsidR="00276FC5">
              <w:t xml:space="preserve"> 2.6 million dollars spent on GAs </w:t>
            </w:r>
            <w:r w:rsidR="00E81280">
              <w:t xml:space="preserve">must be found in the college </w:t>
            </w:r>
            <w:r w:rsidR="00276FC5">
              <w:t>budget.</w:t>
            </w:r>
            <w:r w:rsidR="004B7ED3">
              <w:t xml:space="preserve"> </w:t>
            </w:r>
            <w:r w:rsidR="00274182">
              <w:t xml:space="preserve"> </w:t>
            </w:r>
            <w:r w:rsidR="004B7ED3">
              <w:t xml:space="preserve">In the </w:t>
            </w:r>
            <w:r w:rsidR="00E81280">
              <w:t xml:space="preserve">future, GAs who are funded by an outside source will need </w:t>
            </w:r>
            <w:r w:rsidR="004B7ED3">
              <w:t>to</w:t>
            </w:r>
            <w:r w:rsidR="00E81280">
              <w:t xml:space="preserve"> be</w:t>
            </w:r>
            <w:r w:rsidR="004B7ED3">
              <w:t xml:space="preserve"> factor</w:t>
            </w:r>
            <w:r w:rsidR="00E81280">
              <w:t>ed</w:t>
            </w:r>
            <w:r w:rsidR="004B7ED3">
              <w:t xml:space="preserve"> in for programs.</w:t>
            </w:r>
          </w:p>
          <w:p w:rsidR="00014C93" w:rsidRDefault="00014C93" w:rsidP="005A12F9"/>
          <w:p w:rsidR="009D3F58" w:rsidRDefault="00490723" w:rsidP="005A12F9">
            <w:r>
              <w:t>This year there were two evaluations done for GAs with the year</w:t>
            </w:r>
            <w:r w:rsidR="00E33E7F">
              <w:t xml:space="preserve"> </w:t>
            </w:r>
            <w:r>
              <w:t xml:space="preserve">end evaluation coming up.  It was decided by the budget committee </w:t>
            </w:r>
            <w:r w:rsidR="00014C93">
              <w:t>that</w:t>
            </w:r>
            <w:r>
              <w:t xml:space="preserve"> an annual evaluation in the spring would be sufficient. </w:t>
            </w:r>
          </w:p>
          <w:p w:rsidR="00490723" w:rsidRDefault="00490723" w:rsidP="005A12F9"/>
          <w:p w:rsidR="009D3F58" w:rsidRDefault="009D3F58" w:rsidP="005A12F9">
            <w:r>
              <w:t>She reminded the group that GAs now must be identified as research, teaching or administrative.</w:t>
            </w:r>
            <w:r w:rsidR="00490723">
              <w:t xml:space="preserve">  The previous designations </w:t>
            </w:r>
            <w:r w:rsidR="00490723">
              <w:lastRenderedPageBreak/>
              <w:t>are no longer being used.</w:t>
            </w:r>
          </w:p>
          <w:p w:rsidR="00511A33" w:rsidRDefault="00511A33" w:rsidP="005A12F9"/>
          <w:p w:rsidR="00511A33" w:rsidRPr="00661B95" w:rsidRDefault="00511A33" w:rsidP="00490723">
            <w:r>
              <w:t>There was a question regarding using GA</w:t>
            </w:r>
            <w:r w:rsidR="00490723">
              <w:t xml:space="preserve">s for summer.  Nancy </w:t>
            </w:r>
            <w:r>
              <w:t xml:space="preserve">explained that </w:t>
            </w:r>
            <w:r w:rsidR="00490723">
              <w:t>the funding</w:t>
            </w:r>
            <w:r>
              <w:t xml:space="preserve"> would be part of the following year’s budget.</w:t>
            </w:r>
            <w:r w:rsidR="00490723">
              <w:t xml:space="preserve"> </w:t>
            </w:r>
            <w:r>
              <w:t xml:space="preserve"> There was discussion on what </w:t>
            </w:r>
            <w:r w:rsidR="00490723">
              <w:t>could</w:t>
            </w:r>
            <w:r>
              <w:t xml:space="preserve"> be done </w:t>
            </w:r>
            <w:r w:rsidR="00C4041B">
              <w:t xml:space="preserve">to assist with this </w:t>
            </w:r>
            <w:r w:rsidR="00490723">
              <w:t>issue</w:t>
            </w:r>
            <w:r w:rsidR="00C4041B">
              <w:t>.</w:t>
            </w:r>
            <w:r w:rsidR="00E33E7F">
              <w:t xml:space="preserve"> Funding for international students was the primary issue mentioned.</w:t>
            </w:r>
          </w:p>
        </w:tc>
        <w:tc>
          <w:tcPr>
            <w:tcW w:w="2880" w:type="dxa"/>
          </w:tcPr>
          <w:p w:rsidR="007B6101" w:rsidRDefault="009A775A" w:rsidP="00490723">
            <w:r>
              <w:lastRenderedPageBreak/>
              <w:t xml:space="preserve">Nancy </w:t>
            </w:r>
            <w:r w:rsidR="00274182">
              <w:t xml:space="preserve">will </w:t>
            </w:r>
            <w:r w:rsidR="00490723">
              <w:t>provide the group with GA Budget</w:t>
            </w:r>
            <w:r>
              <w:t xml:space="preserve"> spreadsheets so the group can see how the calculations were achieved.</w:t>
            </w:r>
            <w:r w:rsidR="00AC75E6">
              <w:t xml:space="preserve">  She will wait until after next week’s Leadership Team meeting to assure there are no changes requested by those members.</w:t>
            </w:r>
          </w:p>
        </w:tc>
      </w:tr>
      <w:tr w:rsidR="00661B95" w:rsidTr="00490723">
        <w:tc>
          <w:tcPr>
            <w:tcW w:w="1908" w:type="dxa"/>
          </w:tcPr>
          <w:p w:rsidR="00661B95" w:rsidRDefault="00156C17" w:rsidP="00661B95">
            <w:r>
              <w:lastRenderedPageBreak/>
              <w:t>Changes to Plans of Study</w:t>
            </w:r>
          </w:p>
        </w:tc>
        <w:tc>
          <w:tcPr>
            <w:tcW w:w="6390" w:type="dxa"/>
          </w:tcPr>
          <w:p w:rsidR="00FE4C49" w:rsidRPr="00661B95" w:rsidRDefault="00FE4C49" w:rsidP="00E33E7F">
            <w:r>
              <w:t>I</w:t>
            </w:r>
            <w:r w:rsidR="003C396A">
              <w:t>ssue</w:t>
            </w:r>
            <w:r>
              <w:t>s</w:t>
            </w:r>
            <w:r w:rsidR="003C396A">
              <w:t xml:space="preserve"> </w:t>
            </w:r>
            <w:r>
              <w:t xml:space="preserve">with plans of study are </w:t>
            </w:r>
            <w:r w:rsidR="003C396A">
              <w:t>usually discovered when</w:t>
            </w:r>
            <w:r>
              <w:t xml:space="preserve"> OGSS is</w:t>
            </w:r>
            <w:r w:rsidR="003C396A">
              <w:t xml:space="preserve"> clearing students </w:t>
            </w:r>
            <w:r>
              <w:t>for graduation</w:t>
            </w:r>
            <w:r w:rsidR="003C396A">
              <w:t xml:space="preserve">.  </w:t>
            </w:r>
            <w:r w:rsidR="00E33E7F">
              <w:t xml:space="preserve"> It was </w:t>
            </w:r>
            <w:r w:rsidR="003C396A">
              <w:t>explained that when you are doing substantive changes to the program</w:t>
            </w:r>
            <w:r w:rsidR="00274182">
              <w:t xml:space="preserve"> plan</w:t>
            </w:r>
            <w:r w:rsidR="003C396A">
              <w:t xml:space="preserve"> of study it will need to go through curricular approval.</w:t>
            </w:r>
            <w:r>
              <w:t xml:space="preserve"> </w:t>
            </w:r>
            <w:r w:rsidR="006515C1">
              <w:t xml:space="preserve"> </w:t>
            </w:r>
            <w:r>
              <w:t>Nancy requested</w:t>
            </w:r>
            <w:r w:rsidR="006515C1">
              <w:t xml:space="preserve"> that </w:t>
            </w:r>
            <w:r>
              <w:t xml:space="preserve">OGSS be made aware of </w:t>
            </w:r>
            <w:r w:rsidR="006515C1">
              <w:t xml:space="preserve">even minor </w:t>
            </w:r>
            <w:r>
              <w:t>changes.</w:t>
            </w:r>
            <w:r w:rsidR="006515C1">
              <w:t xml:space="preserve">  Nancy Miller explained that they use the Plan of Study submitted by the student in</w:t>
            </w:r>
            <w:r w:rsidR="00114427">
              <w:t xml:space="preserve"> clearing the student for graduation.</w:t>
            </w:r>
          </w:p>
        </w:tc>
        <w:tc>
          <w:tcPr>
            <w:tcW w:w="2880" w:type="dxa"/>
          </w:tcPr>
          <w:p w:rsidR="00661B95" w:rsidRDefault="00FE4C49" w:rsidP="00661B95">
            <w:r>
              <w:t>Program Coordinators will submit an electronic Plan of Study to the Administrative Affairs office to be kept on file.</w:t>
            </w:r>
          </w:p>
        </w:tc>
      </w:tr>
      <w:tr w:rsidR="00661B95" w:rsidTr="00490723">
        <w:tc>
          <w:tcPr>
            <w:tcW w:w="1908" w:type="dxa"/>
          </w:tcPr>
          <w:p w:rsidR="00661B95" w:rsidRDefault="00156C17" w:rsidP="00661B95">
            <w:r>
              <w:t>Cognates – Maintain and Promote or Abandon</w:t>
            </w:r>
          </w:p>
        </w:tc>
        <w:tc>
          <w:tcPr>
            <w:tcW w:w="6390" w:type="dxa"/>
          </w:tcPr>
          <w:p w:rsidR="00661B95" w:rsidRDefault="004F638B" w:rsidP="00FE4C49">
            <w:r>
              <w:t>Th</w:t>
            </w:r>
            <w:r w:rsidR="00FE4C49">
              <w:t>e paragraph explaining this possibility</w:t>
            </w:r>
            <w:r>
              <w:t xml:space="preserve"> will remain in the</w:t>
            </w:r>
            <w:r w:rsidR="00FE4C49">
              <w:t xml:space="preserve"> graduate</w:t>
            </w:r>
            <w:r>
              <w:t xml:space="preserve"> handbook</w:t>
            </w:r>
            <w:r w:rsidR="00FE4C49">
              <w:t>,</w:t>
            </w:r>
            <w:r>
              <w:t xml:space="preserve"> but will be changed to</w:t>
            </w:r>
            <w:r w:rsidR="00FE4C49">
              <w:t xml:space="preserve"> instruct the student to discuss this with their committee.</w:t>
            </w:r>
          </w:p>
        </w:tc>
        <w:tc>
          <w:tcPr>
            <w:tcW w:w="2880" w:type="dxa"/>
          </w:tcPr>
          <w:p w:rsidR="00661B95" w:rsidRDefault="00661B95" w:rsidP="00661B95"/>
        </w:tc>
      </w:tr>
      <w:tr w:rsidR="00661B95" w:rsidTr="00490723">
        <w:tc>
          <w:tcPr>
            <w:tcW w:w="1908" w:type="dxa"/>
          </w:tcPr>
          <w:p w:rsidR="00661B95" w:rsidRDefault="00156C17" w:rsidP="00661B95">
            <w:r>
              <w:t>Decision on TOEFEL Minimum</w:t>
            </w:r>
          </w:p>
        </w:tc>
        <w:tc>
          <w:tcPr>
            <w:tcW w:w="6390" w:type="dxa"/>
          </w:tcPr>
          <w:p w:rsidR="00661B95" w:rsidRDefault="00274182" w:rsidP="00274182">
            <w:r>
              <w:t>Minimum scores</w:t>
            </w:r>
            <w:r w:rsidR="004F638B">
              <w:t xml:space="preserve"> for other KSU colleges were reviewed and discussed.  There was much discussion on how this issue affects the student’s abilities to understand coursework</w:t>
            </w:r>
            <w:r w:rsidR="00FE4C49">
              <w:t>, write</w:t>
            </w:r>
            <w:r>
              <w:t xml:space="preserve">, </w:t>
            </w:r>
            <w:r w:rsidR="004F638B">
              <w:t>communicate effectively</w:t>
            </w:r>
            <w:r>
              <w:t xml:space="preserve"> and be successful in their chosen program</w:t>
            </w:r>
            <w:r w:rsidR="004F638B">
              <w:t xml:space="preserve">.  Nancy explained that she would like to set a minimum for the college that is above 525.  If the individual programs want to set a higher minimum they need to make sure that it is well communicated.  There was discussion on how this would affect enrollment in the programs.  </w:t>
            </w:r>
          </w:p>
        </w:tc>
        <w:tc>
          <w:tcPr>
            <w:tcW w:w="2880" w:type="dxa"/>
          </w:tcPr>
          <w:p w:rsidR="00661B95" w:rsidRDefault="006A1E19" w:rsidP="00FE4C49">
            <w:r>
              <w:t xml:space="preserve">Nancy will </w:t>
            </w:r>
            <w:r w:rsidR="00FE4C49">
              <w:t xml:space="preserve">obtain </w:t>
            </w:r>
            <w:r>
              <w:t xml:space="preserve">additional overall data and </w:t>
            </w:r>
            <w:r w:rsidR="00FE4C49">
              <w:t xml:space="preserve">data concerning individual programs having different minimums and </w:t>
            </w:r>
            <w:r>
              <w:t xml:space="preserve">report back to the committee at the next meeting.  </w:t>
            </w:r>
          </w:p>
        </w:tc>
      </w:tr>
    </w:tbl>
    <w:p w:rsidR="00661B95" w:rsidRDefault="00661B95" w:rsidP="00661B95"/>
    <w:p w:rsidR="00661B95" w:rsidRDefault="00661B95" w:rsidP="00661B95">
      <w:r>
        <w:t xml:space="preserve">The meeting was adjourned </w:t>
      </w:r>
      <w:r w:rsidR="00274182">
        <w:t>at 11:15</w:t>
      </w:r>
      <w:r w:rsidR="00FE4C49">
        <w:t xml:space="preserve"> am.</w:t>
      </w:r>
    </w:p>
    <w:p w:rsidR="00661B95" w:rsidRDefault="00661B95" w:rsidP="00661B95">
      <w:r>
        <w:t>Next meeting:</w:t>
      </w:r>
      <w:r w:rsidR="007200E5">
        <w:t xml:space="preserve">  April 22, 2011, 11:00 – 12:15 pm, Rm 217</w:t>
      </w:r>
    </w:p>
    <w:p w:rsidR="00661B95" w:rsidRDefault="00661B95" w:rsidP="00661B95"/>
    <w:p w:rsidR="00661B95" w:rsidRDefault="00661B95" w:rsidP="00661B95">
      <w:r>
        <w:t>Respectfully submitted</w:t>
      </w:r>
    </w:p>
    <w:p w:rsidR="00661B95" w:rsidRPr="00661B95" w:rsidRDefault="00661B95" w:rsidP="00661B95">
      <w:r>
        <w:t>Luci Wymer, Recorder</w:t>
      </w:r>
    </w:p>
    <w:sectPr w:rsidR="00661B95" w:rsidRPr="00661B95" w:rsidSect="00661B9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B95"/>
    <w:rsid w:val="00014C93"/>
    <w:rsid w:val="00114427"/>
    <w:rsid w:val="00156C17"/>
    <w:rsid w:val="002451BA"/>
    <w:rsid w:val="00274182"/>
    <w:rsid w:val="00276FC5"/>
    <w:rsid w:val="002B6ABA"/>
    <w:rsid w:val="003078BA"/>
    <w:rsid w:val="003C396A"/>
    <w:rsid w:val="004035E6"/>
    <w:rsid w:val="00460FC1"/>
    <w:rsid w:val="00490723"/>
    <w:rsid w:val="004B7ED3"/>
    <w:rsid w:val="004F638B"/>
    <w:rsid w:val="00511A33"/>
    <w:rsid w:val="0059197D"/>
    <w:rsid w:val="005A12F9"/>
    <w:rsid w:val="00642246"/>
    <w:rsid w:val="006515C1"/>
    <w:rsid w:val="00661B95"/>
    <w:rsid w:val="006655C2"/>
    <w:rsid w:val="006A1E19"/>
    <w:rsid w:val="007057C5"/>
    <w:rsid w:val="007200E5"/>
    <w:rsid w:val="00747FB3"/>
    <w:rsid w:val="00751C87"/>
    <w:rsid w:val="00762A58"/>
    <w:rsid w:val="007B6101"/>
    <w:rsid w:val="0080429D"/>
    <w:rsid w:val="009338D0"/>
    <w:rsid w:val="00946DD8"/>
    <w:rsid w:val="009A775A"/>
    <w:rsid w:val="009D3F58"/>
    <w:rsid w:val="00AC75E6"/>
    <w:rsid w:val="00B223A2"/>
    <w:rsid w:val="00B347EA"/>
    <w:rsid w:val="00BC6645"/>
    <w:rsid w:val="00C4041B"/>
    <w:rsid w:val="00C84FAC"/>
    <w:rsid w:val="00CB2728"/>
    <w:rsid w:val="00D064F2"/>
    <w:rsid w:val="00D77D07"/>
    <w:rsid w:val="00DC13FB"/>
    <w:rsid w:val="00E33E7F"/>
    <w:rsid w:val="00E81280"/>
    <w:rsid w:val="00ED48BD"/>
    <w:rsid w:val="00EF5CBE"/>
    <w:rsid w:val="00FB32C3"/>
    <w:rsid w:val="00FE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CA73A-18E8-438F-A417-FA0B25CB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3598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EHHS</dc:creator>
  <cp:keywords/>
  <dc:description/>
  <cp:lastModifiedBy>End User Support Services</cp:lastModifiedBy>
  <cp:revision>2</cp:revision>
  <dcterms:created xsi:type="dcterms:W3CDTF">2011-03-11T20:21:00Z</dcterms:created>
  <dcterms:modified xsi:type="dcterms:W3CDTF">2011-03-11T20:21:00Z</dcterms:modified>
</cp:coreProperties>
</file>