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Default="00661B95" w:rsidP="00661B95">
      <w:pPr>
        <w:jc w:val="center"/>
      </w:pPr>
      <w:bookmarkStart w:id="0" w:name="_GoBack"/>
      <w:bookmarkEnd w:id="0"/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6E756B" w:rsidRDefault="007057C5" w:rsidP="00661B95">
      <w:pPr>
        <w:jc w:val="center"/>
        <w:rPr>
          <w:b/>
          <w:sz w:val="22"/>
        </w:rPr>
      </w:pPr>
      <w:r w:rsidRPr="006E756B">
        <w:rPr>
          <w:b/>
          <w:sz w:val="22"/>
        </w:rPr>
        <w:t>GRADUATE PROGRAM COORDINATORS MEETING</w:t>
      </w:r>
    </w:p>
    <w:p w:rsidR="00661B95" w:rsidRPr="006E756B" w:rsidRDefault="00335220" w:rsidP="00661B95">
      <w:pPr>
        <w:jc w:val="center"/>
        <w:rPr>
          <w:b/>
          <w:sz w:val="22"/>
        </w:rPr>
      </w:pPr>
      <w:r w:rsidRPr="006E756B">
        <w:rPr>
          <w:b/>
          <w:sz w:val="22"/>
        </w:rPr>
        <w:t>December</w:t>
      </w:r>
      <w:r w:rsidR="00661B95" w:rsidRPr="006E756B">
        <w:rPr>
          <w:b/>
          <w:sz w:val="22"/>
        </w:rPr>
        <w:t xml:space="preserve"> 14, 20</w:t>
      </w:r>
      <w:r w:rsidR="00285CB0" w:rsidRPr="006E756B">
        <w:rPr>
          <w:b/>
          <w:sz w:val="22"/>
        </w:rPr>
        <w:t>12</w:t>
      </w:r>
    </w:p>
    <w:p w:rsidR="00661B95" w:rsidRDefault="00661B95" w:rsidP="00661B95">
      <w:pPr>
        <w:jc w:val="center"/>
      </w:pPr>
    </w:p>
    <w:p w:rsidR="006C78AF" w:rsidRPr="00BB3F7E" w:rsidRDefault="006C78AF" w:rsidP="006C78AF">
      <w:pPr>
        <w:rPr>
          <w:sz w:val="18"/>
          <w:szCs w:val="18"/>
        </w:rPr>
      </w:pPr>
      <w:r w:rsidRPr="00BB3F7E">
        <w:rPr>
          <w:sz w:val="18"/>
          <w:szCs w:val="18"/>
        </w:rPr>
        <w:t>MEMBERS ATTENDING: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2520"/>
        <w:gridCol w:w="2610"/>
        <w:gridCol w:w="2520"/>
      </w:tblGrid>
      <w:tr w:rsidR="006C78AF" w:rsidRPr="00EC1F29" w:rsidTr="006C78AF">
        <w:tc>
          <w:tcPr>
            <w:tcW w:w="2628" w:type="dxa"/>
          </w:tcPr>
          <w:p w:rsidR="006C78AF" w:rsidRPr="00EC1F29" w:rsidRDefault="006C78AF" w:rsidP="006C78AF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FLA</w:t>
            </w:r>
          </w:p>
        </w:tc>
        <w:tc>
          <w:tcPr>
            <w:tcW w:w="2520" w:type="dxa"/>
          </w:tcPr>
          <w:p w:rsidR="006C78AF" w:rsidRPr="00EC1F29" w:rsidRDefault="006C78AF" w:rsidP="006C78AF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2610" w:type="dxa"/>
          </w:tcPr>
          <w:p w:rsidR="006C78AF" w:rsidRPr="00EC1F29" w:rsidRDefault="006C78AF" w:rsidP="006C78AF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LDES</w:t>
            </w:r>
          </w:p>
        </w:tc>
        <w:tc>
          <w:tcPr>
            <w:tcW w:w="2520" w:type="dxa"/>
          </w:tcPr>
          <w:p w:rsidR="006C78AF" w:rsidRPr="00EC1F29" w:rsidRDefault="006C78AF" w:rsidP="006C78AF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TLC</w:t>
            </w:r>
          </w:p>
        </w:tc>
      </w:tr>
      <w:tr w:rsidR="006C78AF" w:rsidRPr="00EC1F29" w:rsidTr="006C78AF">
        <w:trPr>
          <w:trHeight w:val="233"/>
        </w:trPr>
        <w:tc>
          <w:tcPr>
            <w:tcW w:w="2628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Kretovics, Mark</w:t>
            </w:r>
          </w:p>
        </w:tc>
        <w:tc>
          <w:tcPr>
            <w:tcW w:w="2520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Glickman, Ellen</w:t>
            </w:r>
          </w:p>
        </w:tc>
        <w:tc>
          <w:tcPr>
            <w:tcW w:w="2610" w:type="dxa"/>
            <w:shd w:val="clear" w:color="auto" w:fill="auto"/>
          </w:tcPr>
          <w:p w:rsidR="006C78AF" w:rsidRDefault="006C78AF" w:rsidP="006C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Cox, Jane</w:t>
            </w:r>
          </w:p>
        </w:tc>
        <w:tc>
          <w:tcPr>
            <w:tcW w:w="2520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Morgan, Denise</w:t>
            </w:r>
          </w:p>
        </w:tc>
      </w:tr>
      <w:tr w:rsidR="006C78AF" w:rsidRPr="00EC1F29" w:rsidTr="006C78AF">
        <w:trPr>
          <w:trHeight w:val="233"/>
        </w:trPr>
        <w:tc>
          <w:tcPr>
            <w:tcW w:w="2628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Lyberger, Mark</w:t>
            </w:r>
          </w:p>
        </w:tc>
        <w:tc>
          <w:tcPr>
            <w:tcW w:w="2520" w:type="dxa"/>
            <w:shd w:val="clear" w:color="auto" w:fill="auto"/>
          </w:tcPr>
          <w:p w:rsidR="006C78AF" w:rsidRPr="009B52D3" w:rsidRDefault="006C78AF" w:rsidP="006C78AF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Gordon, Karen</w:t>
            </w:r>
          </w:p>
        </w:tc>
        <w:tc>
          <w:tcPr>
            <w:tcW w:w="2610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McGlothlin, Jason</w:t>
            </w:r>
          </w:p>
        </w:tc>
        <w:tc>
          <w:tcPr>
            <w:tcW w:w="2520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</w:tr>
      <w:tr w:rsidR="006C78AF" w:rsidRPr="00EC1F29" w:rsidTr="006C78AF">
        <w:trPr>
          <w:trHeight w:val="233"/>
        </w:trPr>
        <w:tc>
          <w:tcPr>
            <w:tcW w:w="2628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McClelland, Averil</w:t>
            </w:r>
          </w:p>
        </w:tc>
        <w:tc>
          <w:tcPr>
            <w:tcW w:w="2520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Rowan, Lynne</w:t>
            </w:r>
          </w:p>
        </w:tc>
        <w:tc>
          <w:tcPr>
            <w:tcW w:w="2610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Richardson, Rhonda</w:t>
            </w:r>
          </w:p>
        </w:tc>
        <w:tc>
          <w:tcPr>
            <w:tcW w:w="2520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</w:tr>
      <w:tr w:rsidR="006C78AF" w:rsidRPr="00EC1F29" w:rsidTr="006C78AF">
        <w:trPr>
          <w:trHeight w:val="233"/>
        </w:trPr>
        <w:tc>
          <w:tcPr>
            <w:tcW w:w="2628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Niesz, Tricia</w:t>
            </w:r>
          </w:p>
        </w:tc>
        <w:tc>
          <w:tcPr>
            <w:tcW w:w="2520" w:type="dxa"/>
            <w:shd w:val="clear" w:color="auto" w:fill="auto"/>
          </w:tcPr>
          <w:p w:rsidR="006C78AF" w:rsidRPr="009B52D3" w:rsidRDefault="006C78AF" w:rsidP="006C78AF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Sansosti, Frank</w:t>
            </w:r>
          </w:p>
        </w:tc>
        <w:tc>
          <w:tcPr>
            <w:tcW w:w="2520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</w:tr>
      <w:tr w:rsidR="006C78AF" w:rsidRPr="00EC1F29" w:rsidTr="006C78AF">
        <w:tc>
          <w:tcPr>
            <w:tcW w:w="2628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Scheule, Barb</w:t>
            </w:r>
          </w:p>
        </w:tc>
        <w:tc>
          <w:tcPr>
            <w:tcW w:w="2520" w:type="dxa"/>
            <w:shd w:val="clear" w:color="auto" w:fill="auto"/>
          </w:tcPr>
          <w:p w:rsidR="006C78AF" w:rsidRPr="009B52D3" w:rsidRDefault="006C78AF" w:rsidP="006C78AF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auto"/>
          </w:tcPr>
          <w:p w:rsidR="006C78AF" w:rsidRDefault="006C78AF" w:rsidP="006C78AF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Tiene, Drew</w:t>
            </w:r>
          </w:p>
        </w:tc>
        <w:tc>
          <w:tcPr>
            <w:tcW w:w="2520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</w:tr>
      <w:tr w:rsidR="006C78AF" w:rsidRPr="00EC1F29" w:rsidTr="006C78AF">
        <w:tc>
          <w:tcPr>
            <w:tcW w:w="2628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Wisdom, Sonya</w:t>
            </w:r>
          </w:p>
        </w:tc>
        <w:tc>
          <w:tcPr>
            <w:tcW w:w="2520" w:type="dxa"/>
            <w:shd w:val="clear" w:color="auto" w:fill="auto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</w:tr>
    </w:tbl>
    <w:p w:rsidR="006C78AF" w:rsidRPr="00BB3F7E" w:rsidRDefault="006C78AF" w:rsidP="006C78AF">
      <w:pPr>
        <w:rPr>
          <w:sz w:val="18"/>
          <w:szCs w:val="18"/>
        </w:rPr>
      </w:pPr>
      <w:r>
        <w:rPr>
          <w:sz w:val="18"/>
          <w:szCs w:val="18"/>
        </w:rPr>
        <w:t>Cathy Hackney, Admin Affairs; Luci Wymer, Recorder</w:t>
      </w:r>
    </w:p>
    <w:p w:rsidR="006C78AF" w:rsidRPr="00BB3F7E" w:rsidRDefault="006C78AF" w:rsidP="006C78AF">
      <w:pPr>
        <w:rPr>
          <w:sz w:val="18"/>
          <w:szCs w:val="18"/>
        </w:rPr>
      </w:pPr>
    </w:p>
    <w:p w:rsidR="006C78AF" w:rsidRPr="00BB3F7E" w:rsidRDefault="006C78AF" w:rsidP="006C78AF">
      <w:pPr>
        <w:rPr>
          <w:sz w:val="18"/>
          <w:szCs w:val="18"/>
        </w:rPr>
      </w:pPr>
      <w:r w:rsidRPr="00BB3F7E">
        <w:rPr>
          <w:sz w:val="18"/>
          <w:szCs w:val="18"/>
        </w:rPr>
        <w:t>MEMBERS ABSENT: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C78AF" w:rsidRPr="00EC1F29" w:rsidTr="006C78AF">
        <w:tc>
          <w:tcPr>
            <w:tcW w:w="2574" w:type="dxa"/>
          </w:tcPr>
          <w:p w:rsidR="006C78AF" w:rsidRPr="00EC1F29" w:rsidRDefault="006C78AF" w:rsidP="006C78AF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FLA</w:t>
            </w:r>
          </w:p>
        </w:tc>
        <w:tc>
          <w:tcPr>
            <w:tcW w:w="2574" w:type="dxa"/>
          </w:tcPr>
          <w:p w:rsidR="006C78AF" w:rsidRPr="00EC1F29" w:rsidRDefault="006C78AF" w:rsidP="006C78AF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2574" w:type="dxa"/>
          </w:tcPr>
          <w:p w:rsidR="006C78AF" w:rsidRPr="00EC1F29" w:rsidRDefault="006C78AF" w:rsidP="006C78AF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LDES</w:t>
            </w:r>
          </w:p>
        </w:tc>
        <w:tc>
          <w:tcPr>
            <w:tcW w:w="2574" w:type="dxa"/>
          </w:tcPr>
          <w:p w:rsidR="006C78AF" w:rsidRPr="00EC1F29" w:rsidRDefault="006C78AF" w:rsidP="006C78AF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TLC</w:t>
            </w:r>
          </w:p>
        </w:tc>
      </w:tr>
      <w:tr w:rsidR="006C78AF" w:rsidRPr="00EC1F29" w:rsidTr="006C78AF">
        <w:trPr>
          <w:trHeight w:val="233"/>
        </w:trPr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Burzminski, Nancy</w:t>
            </w:r>
          </w:p>
        </w:tc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Barton, Lyle</w:t>
            </w:r>
          </w:p>
        </w:tc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Brooks, Bette</w:t>
            </w:r>
          </w:p>
        </w:tc>
      </w:tr>
      <w:tr w:rsidR="006C78AF" w:rsidRPr="00EC1F29" w:rsidTr="006C78AF"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Ding, Kele</w:t>
            </w:r>
          </w:p>
        </w:tc>
        <w:tc>
          <w:tcPr>
            <w:tcW w:w="2574" w:type="dxa"/>
          </w:tcPr>
          <w:p w:rsidR="006C78AF" w:rsidRDefault="006C78AF" w:rsidP="006C78AF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Rumrill, Phil</w:t>
            </w:r>
          </w:p>
        </w:tc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Henderson, Jim</w:t>
            </w:r>
          </w:p>
        </w:tc>
      </w:tr>
      <w:tr w:rsidR="006C78AF" w:rsidRPr="00EC1F29" w:rsidTr="006C78AF"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Peer, Kim</w:t>
            </w:r>
          </w:p>
        </w:tc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Hutchison, Janice</w:t>
            </w:r>
          </w:p>
        </w:tc>
      </w:tr>
      <w:tr w:rsidR="006C78AF" w:rsidRPr="00EC1F29" w:rsidTr="006C78AF"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6C78AF" w:rsidRDefault="006C78AF" w:rsidP="006C78AF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Kroeger, Janice</w:t>
            </w:r>
          </w:p>
        </w:tc>
      </w:tr>
      <w:tr w:rsidR="006C78AF" w:rsidRPr="00EC1F29" w:rsidTr="006C78AF"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Mitchell, Stephen</w:t>
            </w:r>
          </w:p>
        </w:tc>
      </w:tr>
      <w:tr w:rsidR="006C78AF" w:rsidRPr="00EC1F29" w:rsidTr="006C78AF"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6C78AF" w:rsidRDefault="006C78AF" w:rsidP="006C78AF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6C78AF" w:rsidRPr="00EC1F29" w:rsidRDefault="006C78AF" w:rsidP="006C78AF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O’Connor, Pat</w:t>
            </w:r>
          </w:p>
        </w:tc>
      </w:tr>
    </w:tbl>
    <w:p w:rsidR="006C78AF" w:rsidRDefault="006C78AF" w:rsidP="006C78AF">
      <w:pPr>
        <w:rPr>
          <w:sz w:val="18"/>
          <w:szCs w:val="18"/>
        </w:rPr>
      </w:pPr>
      <w:r w:rsidRPr="00BB3F7E">
        <w:rPr>
          <w:sz w:val="18"/>
          <w:szCs w:val="18"/>
        </w:rPr>
        <w:t>GUESTS:</w:t>
      </w:r>
      <w:r>
        <w:rPr>
          <w:sz w:val="18"/>
          <w:szCs w:val="18"/>
        </w:rPr>
        <w:t xml:space="preserve">  None</w:t>
      </w:r>
    </w:p>
    <w:p w:rsidR="00661B95" w:rsidRDefault="00661B95" w:rsidP="00661B95"/>
    <w:p w:rsidR="00661B95" w:rsidRDefault="00661B95" w:rsidP="00661B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400"/>
        <w:gridCol w:w="2178"/>
      </w:tblGrid>
      <w:tr w:rsidR="00661B95" w:rsidTr="00335220">
        <w:tc>
          <w:tcPr>
            <w:tcW w:w="2718" w:type="dxa"/>
          </w:tcPr>
          <w:p w:rsidR="00661B95" w:rsidRPr="00661B95" w:rsidRDefault="00661B95" w:rsidP="00661B95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400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 w:rsidRPr="00661B95">
              <w:rPr>
                <w:b/>
              </w:rPr>
              <w:t>DISCUSSION</w:t>
            </w:r>
          </w:p>
        </w:tc>
        <w:tc>
          <w:tcPr>
            <w:tcW w:w="2178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661B95" w:rsidTr="00335220">
        <w:tc>
          <w:tcPr>
            <w:tcW w:w="2718" w:type="dxa"/>
          </w:tcPr>
          <w:p w:rsidR="00661B95" w:rsidRDefault="00335220" w:rsidP="00661B95">
            <w:r>
              <w:t>1. From the Provost’s Office:  Mini-grants for Assessment Activities ($500)</w:t>
            </w:r>
          </w:p>
        </w:tc>
        <w:tc>
          <w:tcPr>
            <w:tcW w:w="5400" w:type="dxa"/>
          </w:tcPr>
          <w:p w:rsidR="00661B95" w:rsidRPr="00661B95" w:rsidRDefault="00974800" w:rsidP="006C78AF">
            <w:r>
              <w:t>C</w:t>
            </w:r>
            <w:r w:rsidR="006C78AF">
              <w:t>. Hackney gave the</w:t>
            </w:r>
            <w:r>
              <w:t xml:space="preserve"> group information regarding these mini grants. </w:t>
            </w:r>
          </w:p>
        </w:tc>
        <w:tc>
          <w:tcPr>
            <w:tcW w:w="2178" w:type="dxa"/>
          </w:tcPr>
          <w:p w:rsidR="00661B95" w:rsidRDefault="006C78AF" w:rsidP="00661B95">
            <w:r>
              <w:t>Forms and information will be sent</w:t>
            </w:r>
            <w:r w:rsidR="006E756B">
              <w:t xml:space="preserve"> electronically</w:t>
            </w:r>
            <w:r>
              <w:t xml:space="preserve"> to</w:t>
            </w:r>
            <w:r w:rsidR="006E756B">
              <w:t xml:space="preserve"> all</w:t>
            </w:r>
            <w:r>
              <w:t xml:space="preserve"> members</w:t>
            </w:r>
          </w:p>
        </w:tc>
      </w:tr>
      <w:tr w:rsidR="00661B95" w:rsidTr="00335220">
        <w:tc>
          <w:tcPr>
            <w:tcW w:w="2718" w:type="dxa"/>
          </w:tcPr>
          <w:p w:rsidR="00661B95" w:rsidRDefault="00335220" w:rsidP="00661B95">
            <w:r>
              <w:t>2. From Graduate Studies:</w:t>
            </w:r>
          </w:p>
          <w:p w:rsidR="00335220" w:rsidRDefault="00335220" w:rsidP="00335220">
            <w:pPr>
              <w:pStyle w:val="ListParagraph"/>
              <w:numPr>
                <w:ilvl w:val="0"/>
                <w:numId w:val="2"/>
              </w:numPr>
            </w:pPr>
            <w:r>
              <w:t xml:space="preserve"> Working on policy revisions for graduate admissions, maintaining graduate student status</w:t>
            </w:r>
          </w:p>
          <w:p w:rsidR="00335220" w:rsidRDefault="00335220" w:rsidP="00335220">
            <w:pPr>
              <w:pStyle w:val="ListParagraph"/>
              <w:numPr>
                <w:ilvl w:val="0"/>
                <w:numId w:val="2"/>
              </w:numPr>
            </w:pPr>
            <w:r>
              <w:t>In effect:  Student leave of absence; student re-enrollment – Nancy Miller</w:t>
            </w:r>
          </w:p>
          <w:p w:rsidR="00335220" w:rsidRDefault="00335220" w:rsidP="00335220">
            <w:pPr>
              <w:pStyle w:val="ListParagraph"/>
              <w:numPr>
                <w:ilvl w:val="0"/>
                <w:numId w:val="2"/>
              </w:numPr>
            </w:pPr>
            <w:r>
              <w:t>Denial of admission letters – Discussion</w:t>
            </w:r>
          </w:p>
          <w:p w:rsidR="00335220" w:rsidRDefault="00335220" w:rsidP="00335220">
            <w:pPr>
              <w:pStyle w:val="ListParagraph"/>
              <w:numPr>
                <w:ilvl w:val="0"/>
                <w:numId w:val="2"/>
              </w:numPr>
            </w:pPr>
            <w:r>
              <w:t xml:space="preserve">GA positions – </w:t>
            </w:r>
            <w:r>
              <w:lastRenderedPageBreak/>
              <w:t>Nancy Miller</w:t>
            </w:r>
          </w:p>
        </w:tc>
        <w:tc>
          <w:tcPr>
            <w:tcW w:w="5400" w:type="dxa"/>
          </w:tcPr>
          <w:p w:rsidR="00661B95" w:rsidRDefault="00974800" w:rsidP="00661B95">
            <w:proofErr w:type="gramStart"/>
            <w:r>
              <w:lastRenderedPageBreak/>
              <w:t>a</w:t>
            </w:r>
            <w:proofErr w:type="gramEnd"/>
            <w:r>
              <w:t xml:space="preserve">. </w:t>
            </w:r>
            <w:r w:rsidR="006E756B">
              <w:t>C. Hackney e</w:t>
            </w:r>
            <w:r>
              <w:t>xplained that GSAAC will be reworking different policies</w:t>
            </w:r>
            <w:r w:rsidR="006E756B">
              <w:t xml:space="preserve"> this year</w:t>
            </w:r>
            <w:r>
              <w:t>.</w:t>
            </w:r>
          </w:p>
          <w:p w:rsidR="00DF3EF3" w:rsidRDefault="00974800" w:rsidP="00661B95">
            <w:r>
              <w:t xml:space="preserve">b. </w:t>
            </w:r>
            <w:r w:rsidR="00217476">
              <w:t xml:space="preserve">The group was given a fact sheet on the new Leave of Absence and Re-enrollment policies.  </w:t>
            </w:r>
            <w:r>
              <w:t xml:space="preserve">C. Hackney </w:t>
            </w:r>
            <w:r w:rsidR="00217476">
              <w:t>has</w:t>
            </w:r>
            <w:r>
              <w:t xml:space="preserve"> </w:t>
            </w:r>
            <w:r w:rsidR="006C78AF">
              <w:t>shared faculty responses to the new policies with</w:t>
            </w:r>
            <w:r>
              <w:t xml:space="preserve"> GSAAC. </w:t>
            </w:r>
            <w:r w:rsidR="006C78AF">
              <w:t xml:space="preserve"> It seems that some of the policy changes</w:t>
            </w:r>
            <w:r w:rsidR="00E219C1">
              <w:t xml:space="preserve"> have not been thought through thoroughly.  She suggested to </w:t>
            </w:r>
            <w:r w:rsidR="00217476">
              <w:t>the</w:t>
            </w:r>
            <w:r w:rsidR="00E219C1">
              <w:t xml:space="preserve"> GSAAC group</w:t>
            </w:r>
            <w:r w:rsidR="00217476">
              <w:t xml:space="preserve"> that those using these processes be involved in the implementation</w:t>
            </w:r>
            <w:r w:rsidR="00E219C1">
              <w:t xml:space="preserve"> of all of the new strategies.  </w:t>
            </w:r>
            <w:r w:rsidR="00966657">
              <w:t xml:space="preserve">She explained that what is listed under “new Policy” is in effect now.  These </w:t>
            </w:r>
            <w:r w:rsidR="00217476">
              <w:t>changes were made</w:t>
            </w:r>
            <w:r w:rsidR="00966657">
              <w:t xml:space="preserve"> last academic year.  </w:t>
            </w:r>
            <w:r w:rsidR="00E039DF">
              <w:t>T</w:t>
            </w:r>
            <w:r w:rsidR="00670036">
              <w:t>his is more of a cleanup of information where there are gaps in procedures.</w:t>
            </w:r>
            <w:r w:rsidR="00DF3EF3">
              <w:t xml:space="preserve">  There was discussion regarding </w:t>
            </w:r>
            <w:r w:rsidR="00217476">
              <w:t xml:space="preserve">the reasoning behind the changes.  One reason </w:t>
            </w:r>
            <w:r w:rsidR="005F5A4C">
              <w:t xml:space="preserve">for the Leave of Absence is to encourage students to stay in and complete their degree.  </w:t>
            </w:r>
            <w:r w:rsidR="00217476">
              <w:t xml:space="preserve">It was explained </w:t>
            </w:r>
            <w:r w:rsidR="00CF4A63">
              <w:t>that th</w:t>
            </w:r>
            <w:r w:rsidR="00217476">
              <w:t>e</w:t>
            </w:r>
            <w:r w:rsidR="00CF4A63">
              <w:t xml:space="preserve"> </w:t>
            </w:r>
            <w:r w:rsidR="00217476">
              <w:t>fact sheet was</w:t>
            </w:r>
            <w:r w:rsidR="00CF4A63">
              <w:t xml:space="preserve"> informational </w:t>
            </w:r>
            <w:r w:rsidR="00217476">
              <w:t>as t</w:t>
            </w:r>
            <w:r w:rsidR="00CF4A63">
              <w:t xml:space="preserve">hese changes have </w:t>
            </w:r>
            <w:r w:rsidR="00CF4A63">
              <w:lastRenderedPageBreak/>
              <w:t xml:space="preserve">been through all of the committees and </w:t>
            </w:r>
            <w:r w:rsidR="00217476">
              <w:t>are in effect</w:t>
            </w:r>
            <w:r w:rsidR="00CF4A63">
              <w:t>.</w:t>
            </w:r>
            <w:r w:rsidR="00B943E4">
              <w:t xml:space="preserve">  This is for degree seeking students only.</w:t>
            </w:r>
          </w:p>
          <w:p w:rsidR="00B943E4" w:rsidRDefault="00B943E4" w:rsidP="00661B95"/>
          <w:p w:rsidR="00B943E4" w:rsidRDefault="00B943E4" w:rsidP="00661B95">
            <w:proofErr w:type="gramStart"/>
            <w:r>
              <w:t>c</w:t>
            </w:r>
            <w:proofErr w:type="gramEnd"/>
            <w:r>
              <w:t xml:space="preserve">. C. Hackney explained </w:t>
            </w:r>
            <w:r w:rsidR="006651FC">
              <w:t xml:space="preserve">students </w:t>
            </w:r>
            <w:r>
              <w:t>currently</w:t>
            </w:r>
            <w:r w:rsidR="006651FC">
              <w:t xml:space="preserve"> receive</w:t>
            </w:r>
            <w:r>
              <w:t xml:space="preserve"> two denial letters: one </w:t>
            </w:r>
            <w:r w:rsidR="00B77C9A">
              <w:t xml:space="preserve">generated </w:t>
            </w:r>
            <w:r>
              <w:t>from Banner and one from OGSS.  The letter from OGSS explains in a little more depth why they were denied</w:t>
            </w:r>
            <w:r w:rsidR="006651FC">
              <w:t xml:space="preserve"> admission</w:t>
            </w:r>
            <w:r>
              <w:t>.</w:t>
            </w:r>
            <w:r w:rsidR="00900ED1">
              <w:t xml:space="preserve">  Dean Mahon</w:t>
            </w:r>
            <w:r w:rsidR="009824A3">
              <w:t xml:space="preserve">y would like the student to only receive one letter of denial.  </w:t>
            </w:r>
            <w:r w:rsidR="004A42C8">
              <w:t>N.</w:t>
            </w:r>
            <w:r w:rsidR="00E85FEF">
              <w:t xml:space="preserve"> </w:t>
            </w:r>
            <w:r w:rsidR="004A42C8">
              <w:t xml:space="preserve">Miller explained that it is the decision code in Banner that generates the letters.  C. Hackney will </w:t>
            </w:r>
            <w:r w:rsidR="00AC3B75">
              <w:t>let the</w:t>
            </w:r>
            <w:r w:rsidR="004A42C8">
              <w:t xml:space="preserve"> GSAAC </w:t>
            </w:r>
            <w:r w:rsidR="00AC3B75">
              <w:t xml:space="preserve">group know the Program Coordinators would like denial letters to be generated by our college and curtail the </w:t>
            </w:r>
            <w:r w:rsidR="004A42C8">
              <w:t>Banner generate</w:t>
            </w:r>
            <w:r w:rsidR="00E039DF">
              <w:t>d</w:t>
            </w:r>
            <w:r w:rsidR="004A42C8">
              <w:t xml:space="preserve"> denial letters.  </w:t>
            </w:r>
            <w:r w:rsidR="00941B28">
              <w:t>N. Miller shared with the group that she can arrange for any of them to receive copies of admission letters</w:t>
            </w:r>
            <w:r w:rsidR="008117B4">
              <w:t xml:space="preserve"> electronically</w:t>
            </w:r>
            <w:r w:rsidR="00941B28">
              <w:t>.</w:t>
            </w:r>
            <w:r w:rsidR="003368A9">
              <w:t xml:space="preserve">  </w:t>
            </w:r>
          </w:p>
          <w:p w:rsidR="003368A9" w:rsidRDefault="003368A9" w:rsidP="00661B95"/>
          <w:p w:rsidR="003368A9" w:rsidRDefault="003368A9" w:rsidP="00661B95">
            <w:proofErr w:type="gramStart"/>
            <w:r>
              <w:t>d</w:t>
            </w:r>
            <w:proofErr w:type="gramEnd"/>
            <w:r>
              <w:t xml:space="preserve">. N. Miller shared that JP Cooney asked her to share that EHHS faculty </w:t>
            </w:r>
            <w:r w:rsidR="005C7D8F">
              <w:t>have been suggesting that</w:t>
            </w:r>
            <w:r>
              <w:t xml:space="preserve"> students contact Grad Studies regarding GA positions.  </w:t>
            </w:r>
            <w:r w:rsidR="002448D4">
              <w:t>Graduate Studies is requesting</w:t>
            </w:r>
            <w:r>
              <w:t xml:space="preserve"> </w:t>
            </w:r>
            <w:r w:rsidR="002448D4">
              <w:t>students not be referred to their office as</w:t>
            </w:r>
            <w:r>
              <w:t xml:space="preserve"> they do not have knowledge of </w:t>
            </w:r>
            <w:r w:rsidR="005C7D8F">
              <w:t xml:space="preserve">GA </w:t>
            </w:r>
            <w:r>
              <w:t>position</w:t>
            </w:r>
            <w:r w:rsidR="005C7D8F">
              <w:t xml:space="preserve"> openings</w:t>
            </w:r>
            <w:r>
              <w:t>.</w:t>
            </w:r>
            <w:r w:rsidR="007A2867">
              <w:t xml:space="preserve">  There was discussion that Career Services has positions posted for non-college GA positions.</w:t>
            </w:r>
          </w:p>
          <w:p w:rsidR="00B943E4" w:rsidRDefault="00B943E4" w:rsidP="00661B95"/>
        </w:tc>
        <w:tc>
          <w:tcPr>
            <w:tcW w:w="2178" w:type="dxa"/>
          </w:tcPr>
          <w:p w:rsidR="00661B95" w:rsidRDefault="00661B95" w:rsidP="00661B95"/>
        </w:tc>
      </w:tr>
      <w:tr w:rsidR="00661B95" w:rsidTr="00335220">
        <w:tc>
          <w:tcPr>
            <w:tcW w:w="2718" w:type="dxa"/>
          </w:tcPr>
          <w:p w:rsidR="00661B95" w:rsidRDefault="00335220" w:rsidP="00661B95">
            <w:r>
              <w:lastRenderedPageBreak/>
              <w:t>3. From the Doctoral Program Review Committee:  Discussion – Mark Kretovics</w:t>
            </w:r>
          </w:p>
          <w:p w:rsidR="00335220" w:rsidRDefault="00335220" w:rsidP="00335220">
            <w:pPr>
              <w:pStyle w:val="ListParagraph"/>
              <w:numPr>
                <w:ilvl w:val="0"/>
                <w:numId w:val="3"/>
              </w:numPr>
            </w:pPr>
            <w:r>
              <w:t xml:space="preserve"> Inclusion of a seminar during Dissertation I</w:t>
            </w:r>
          </w:p>
          <w:p w:rsidR="00335220" w:rsidRDefault="00335220" w:rsidP="00335220">
            <w:pPr>
              <w:pStyle w:val="ListParagraph"/>
              <w:numPr>
                <w:ilvl w:val="0"/>
                <w:numId w:val="3"/>
              </w:numPr>
            </w:pPr>
            <w:r>
              <w:t>Student timeline parameters between oral/written comps and proposal submission</w:t>
            </w:r>
          </w:p>
        </w:tc>
        <w:tc>
          <w:tcPr>
            <w:tcW w:w="5400" w:type="dxa"/>
          </w:tcPr>
          <w:p w:rsidR="00661B95" w:rsidRDefault="007A2867" w:rsidP="00661B95">
            <w:r>
              <w:t>M. Kretovics explained this group hopes to finalize the</w:t>
            </w:r>
            <w:r w:rsidR="006651FC">
              <w:t>ir</w:t>
            </w:r>
            <w:r>
              <w:t xml:space="preserve"> recommendations in January in time to present them to the Dean in February.  </w:t>
            </w:r>
          </w:p>
          <w:p w:rsidR="001C476B" w:rsidRDefault="001C476B" w:rsidP="00661B95"/>
          <w:p w:rsidR="001C476B" w:rsidRDefault="006651FC" w:rsidP="007D7043">
            <w:r>
              <w:t>a. T</w:t>
            </w:r>
            <w:r w:rsidR="001C476B">
              <w:t xml:space="preserve">he Doctoral Review Committee suggested a seminar where </w:t>
            </w:r>
            <w:r>
              <w:t>doctoral students would meet once a month to assist them through the writing phase.</w:t>
            </w:r>
            <w:r w:rsidR="001C476B">
              <w:t xml:space="preserve">  This would be non-credit and the faculty would volunteer to staff this rotating through the schools.  </w:t>
            </w:r>
            <w:r>
              <w:t>T</w:t>
            </w:r>
            <w:r w:rsidR="001C476B">
              <w:t xml:space="preserve">he group </w:t>
            </w:r>
            <w:r>
              <w:t xml:space="preserve">was asked </w:t>
            </w:r>
            <w:r w:rsidR="001C476B">
              <w:t xml:space="preserve">if they </w:t>
            </w:r>
            <w:r w:rsidR="00CF64D5">
              <w:t xml:space="preserve">thought faculty would be willing to staff this.  He explained that </w:t>
            </w:r>
            <w:r>
              <w:t>it</w:t>
            </w:r>
            <w:r w:rsidR="00CF64D5">
              <w:t xml:space="preserve"> is not meant to take the place of the advisor’s role.  </w:t>
            </w:r>
            <w:r>
              <w:t>It i</w:t>
            </w:r>
            <w:r w:rsidR="007D7043">
              <w:t>s meant to be more of a support group for students that are struggling.  This will be added to the</w:t>
            </w:r>
            <w:r>
              <w:t xml:space="preserve"> Review Committee</w:t>
            </w:r>
            <w:r w:rsidR="005256D7">
              <w:t xml:space="preserve">’s </w:t>
            </w:r>
            <w:r w:rsidR="007D7043">
              <w:t>recommendations.</w:t>
            </w:r>
          </w:p>
          <w:p w:rsidR="006651FC" w:rsidRDefault="006651FC" w:rsidP="007D7043"/>
          <w:p w:rsidR="007D7043" w:rsidRDefault="007D7043" w:rsidP="005256D7">
            <w:r>
              <w:t>b.</w:t>
            </w:r>
            <w:r w:rsidR="006651FC">
              <w:t xml:space="preserve"> T</w:t>
            </w:r>
            <w:r>
              <w:t xml:space="preserve">he review committee </w:t>
            </w:r>
            <w:r w:rsidR="006651FC">
              <w:t xml:space="preserve">has also </w:t>
            </w:r>
            <w:r>
              <w:t>suggested a 2 year deadline for doc</w:t>
            </w:r>
            <w:r w:rsidR="006651FC">
              <w:t>toral</w:t>
            </w:r>
            <w:r>
              <w:t xml:space="preserve"> students between comps and proposal submission.  </w:t>
            </w:r>
            <w:r w:rsidR="0060788B">
              <w:t>It was suggested that student</w:t>
            </w:r>
            <w:r w:rsidR="006651FC">
              <w:t>s</w:t>
            </w:r>
            <w:r w:rsidR="0060788B">
              <w:t xml:space="preserve"> be told after the 2 years they </w:t>
            </w:r>
            <w:r w:rsidR="005256D7">
              <w:t>can</w:t>
            </w:r>
            <w:r w:rsidR="0060788B">
              <w:t xml:space="preserve"> get an </w:t>
            </w:r>
            <w:proofErr w:type="spellStart"/>
            <w:r w:rsidR="0060788B">
              <w:t>EdS.</w:t>
            </w:r>
            <w:proofErr w:type="spellEnd"/>
            <w:r w:rsidR="0060788B">
              <w:t xml:space="preserve">  Language for this would need to be added to the handbook.  The review committee will put this into the appropriate language to be added to the </w:t>
            </w:r>
            <w:r w:rsidR="0060788B">
              <w:lastRenderedPageBreak/>
              <w:t>handbook.  If they would want to apply for an extension they would need to meet with their advisor.  M.</w:t>
            </w:r>
            <w:r w:rsidR="0040636B">
              <w:t xml:space="preserve"> Kretovics</w:t>
            </w:r>
            <w:r w:rsidR="0060788B">
              <w:t xml:space="preserve"> will </w:t>
            </w:r>
            <w:r w:rsidR="0040636B">
              <w:t xml:space="preserve">work with the committee to put together the </w:t>
            </w:r>
            <w:r w:rsidR="0060788B">
              <w:t>language</w:t>
            </w:r>
            <w:r w:rsidR="0040636B">
              <w:t>.</w:t>
            </w:r>
            <w:r w:rsidR="0060788B">
              <w:t xml:space="preserve"> </w:t>
            </w:r>
          </w:p>
        </w:tc>
        <w:tc>
          <w:tcPr>
            <w:tcW w:w="2178" w:type="dxa"/>
          </w:tcPr>
          <w:p w:rsidR="00661B95" w:rsidRDefault="00661B95" w:rsidP="00661B95"/>
        </w:tc>
      </w:tr>
      <w:tr w:rsidR="00285CB0" w:rsidTr="00335220">
        <w:tc>
          <w:tcPr>
            <w:tcW w:w="2718" w:type="dxa"/>
          </w:tcPr>
          <w:p w:rsidR="00285CB0" w:rsidRDefault="00335220" w:rsidP="00661B95">
            <w:r>
              <w:lastRenderedPageBreak/>
              <w:t>4.  From OGGS:  Discussion</w:t>
            </w:r>
          </w:p>
          <w:p w:rsidR="00335220" w:rsidRDefault="00335220" w:rsidP="00661B95">
            <w:r>
              <w:t>a.  Deadline date for thesis, project and dissertation defense</w:t>
            </w:r>
          </w:p>
          <w:p w:rsidR="00335220" w:rsidRDefault="00335220" w:rsidP="00661B95">
            <w:r>
              <w:t xml:space="preserve">b. Revision of the </w:t>
            </w:r>
            <w:r>
              <w:rPr>
                <w:i/>
              </w:rPr>
              <w:t>Oral and Written Comps Forms</w:t>
            </w:r>
          </w:p>
          <w:p w:rsidR="00335220" w:rsidRDefault="00335220" w:rsidP="00661B95">
            <w:r>
              <w:t>c.  Changes in graduate education application</w:t>
            </w:r>
          </w:p>
          <w:p w:rsidR="00335220" w:rsidRPr="00335220" w:rsidRDefault="00335220" w:rsidP="00661B95">
            <w:r>
              <w:t>d.  Grad Faculty Representative Form - clarification</w:t>
            </w:r>
          </w:p>
        </w:tc>
        <w:tc>
          <w:tcPr>
            <w:tcW w:w="5400" w:type="dxa"/>
          </w:tcPr>
          <w:p w:rsidR="00285CB0" w:rsidRDefault="005256D7" w:rsidP="00661B95">
            <w:proofErr w:type="gramStart"/>
            <w:r>
              <w:t>a</w:t>
            </w:r>
            <w:proofErr w:type="gramEnd"/>
            <w:r>
              <w:t>. N</w:t>
            </w:r>
            <w:r w:rsidR="007A2867">
              <w:t>.</w:t>
            </w:r>
            <w:r w:rsidR="008B2918">
              <w:t xml:space="preserve"> </w:t>
            </w:r>
            <w:r w:rsidR="007A2867">
              <w:t>Miller asked the group if</w:t>
            </w:r>
            <w:r w:rsidR="008B2918">
              <w:t xml:space="preserve"> the group</w:t>
            </w:r>
            <w:r w:rsidR="005C4DB0">
              <w:t xml:space="preserve"> would like to keep the theses and project deadlines on the same date.</w:t>
            </w:r>
            <w:r>
              <w:t xml:space="preserve"> After discussion it was agreed to keep the same dates.</w:t>
            </w:r>
          </w:p>
          <w:p w:rsidR="00C1217A" w:rsidRDefault="005256D7" w:rsidP="005C4DB0">
            <w:proofErr w:type="gramStart"/>
            <w:r>
              <w:t>b</w:t>
            </w:r>
            <w:proofErr w:type="gramEnd"/>
            <w:r>
              <w:t>. N</w:t>
            </w:r>
            <w:r w:rsidR="005C4DB0">
              <w:t>. Miller explained if a student has deficiencies</w:t>
            </w:r>
            <w:r w:rsidR="00AD15E9">
              <w:t xml:space="preserve"> on their comps the OGSS</w:t>
            </w:r>
            <w:r w:rsidR="005C4DB0">
              <w:t xml:space="preserve"> office is</w:t>
            </w:r>
            <w:r w:rsidR="00AD15E9">
              <w:t xml:space="preserve"> currently</w:t>
            </w:r>
            <w:r w:rsidR="005C4DB0">
              <w:t xml:space="preserve"> not aware of them.  She would like this form to be redone to track the deficiencies.  There was discussion of instances when this has become an issue</w:t>
            </w:r>
            <w:r w:rsidR="00AD15E9">
              <w:t xml:space="preserve"> and whether or not this</w:t>
            </w:r>
            <w:r w:rsidR="00FF65AB">
              <w:t xml:space="preserve"> is necessary.  N. Miller asked if</w:t>
            </w:r>
            <w:r w:rsidR="00AD15E9">
              <w:t xml:space="preserve"> it was necessary to document in the main file if</w:t>
            </w:r>
            <w:r w:rsidR="00FF65AB">
              <w:t xml:space="preserve"> the student has deficiencies.  There was discussion that everyone should </w:t>
            </w:r>
            <w:r w:rsidR="00653CDE">
              <w:t>be using</w:t>
            </w:r>
            <w:r w:rsidR="00AD15E9">
              <w:t xml:space="preserve"> </w:t>
            </w:r>
            <w:r w:rsidR="00FF65AB">
              <w:t xml:space="preserve">same </w:t>
            </w:r>
            <w:r w:rsidR="00653CDE">
              <w:t xml:space="preserve">procedure </w:t>
            </w:r>
            <w:r w:rsidR="00FF65AB">
              <w:t xml:space="preserve">whether the information is documented in the school file or the main file in OGSS.  </w:t>
            </w:r>
            <w:r w:rsidR="00C1217A">
              <w:t>One form with</w:t>
            </w:r>
            <w:r w:rsidR="00653CDE">
              <w:t xml:space="preserve"> the</w:t>
            </w:r>
            <w:r w:rsidR="00C1217A">
              <w:t xml:space="preserve"> </w:t>
            </w:r>
            <w:r w:rsidR="00653CDE">
              <w:t>deficiencies</w:t>
            </w:r>
            <w:r w:rsidR="00C1217A">
              <w:t xml:space="preserve"> can be submitted to 418</w:t>
            </w:r>
            <w:r w:rsidR="00653CDE">
              <w:t xml:space="preserve">. </w:t>
            </w:r>
            <w:r w:rsidR="00C1217A">
              <w:t xml:space="preserve"> </w:t>
            </w:r>
            <w:r w:rsidR="00653CDE">
              <w:t>A</w:t>
            </w:r>
            <w:r w:rsidR="00C1217A">
              <w:t xml:space="preserve"> second copy of the form </w:t>
            </w:r>
            <w:r w:rsidR="00653CDE">
              <w:t>can be submitted when the student has</w:t>
            </w:r>
            <w:r w:rsidR="00C1217A">
              <w:t xml:space="preserve"> corrected the deficiencies and passed </w:t>
            </w:r>
            <w:r w:rsidR="00653CDE">
              <w:t>oral</w:t>
            </w:r>
            <w:r w:rsidR="00C1217A">
              <w:t xml:space="preserve"> comps.  </w:t>
            </w:r>
          </w:p>
          <w:p w:rsidR="00C1217A" w:rsidRDefault="00860492" w:rsidP="004123C7">
            <w:r>
              <w:t xml:space="preserve">c. </w:t>
            </w:r>
            <w:r w:rsidR="00625F71">
              <w:t>It has been decided t</w:t>
            </w:r>
            <w:r>
              <w:t>he moral character form</w:t>
            </w:r>
            <w:r w:rsidR="00625F71">
              <w:t xml:space="preserve"> on the admission application</w:t>
            </w:r>
            <w:r>
              <w:t xml:space="preserve"> was not legal.  The </w:t>
            </w:r>
            <w:r w:rsidR="00625F71">
              <w:t>questions will</w:t>
            </w:r>
            <w:r w:rsidR="004123C7">
              <w:t xml:space="preserve"> be left as an information item</w:t>
            </w:r>
            <w:r w:rsidR="00625F71">
              <w:t>.  T</w:t>
            </w:r>
            <w:r w:rsidR="004123C7">
              <w:t xml:space="preserve">he student will </w:t>
            </w:r>
            <w:r w:rsidR="00625F71">
              <w:t xml:space="preserve">be required to </w:t>
            </w:r>
            <w:r w:rsidR="004123C7">
              <w:t xml:space="preserve">signoff that they are aware </w:t>
            </w:r>
            <w:r w:rsidR="00625F71">
              <w:t>these questions</w:t>
            </w:r>
            <w:r w:rsidR="004123C7">
              <w:t xml:space="preserve"> will have to</w:t>
            </w:r>
            <w:r w:rsidR="00625F71">
              <w:t xml:space="preserve"> be </w:t>
            </w:r>
            <w:r w:rsidR="004123C7">
              <w:t>answer</w:t>
            </w:r>
            <w:r w:rsidR="00625F71">
              <w:t>ed</w:t>
            </w:r>
            <w:r w:rsidR="004123C7">
              <w:t xml:space="preserve"> </w:t>
            </w:r>
            <w:r>
              <w:t>when they apply for licensure</w:t>
            </w:r>
            <w:r w:rsidR="00990360">
              <w:t>.</w:t>
            </w:r>
            <w:r w:rsidR="004123C7">
              <w:t xml:space="preserve">  The admission questions will remain the same and if there is a question it will continue to go to legal.  </w:t>
            </w:r>
          </w:p>
          <w:p w:rsidR="001C476B" w:rsidRDefault="00625F71" w:rsidP="00625F71">
            <w:r>
              <w:t>d. GFR</w:t>
            </w:r>
            <w:r w:rsidR="001C476B">
              <w:t xml:space="preserve"> form – C. Hackney explained that this was just</w:t>
            </w:r>
            <w:r>
              <w:t xml:space="preserve"> to</w:t>
            </w:r>
            <w:r w:rsidR="001C476B">
              <w:t xml:space="preserve"> clarif</w:t>
            </w:r>
            <w:r>
              <w:t>y</w:t>
            </w:r>
            <w:r w:rsidR="001C476B">
              <w:t xml:space="preserve"> who is responsible for which section.  </w:t>
            </w:r>
          </w:p>
        </w:tc>
        <w:tc>
          <w:tcPr>
            <w:tcW w:w="2178" w:type="dxa"/>
          </w:tcPr>
          <w:p w:rsidR="00285CB0" w:rsidRDefault="00285CB0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61B95"/>
          <w:p w:rsidR="001C476B" w:rsidRDefault="001C476B" w:rsidP="00625F71">
            <w:r>
              <w:t>Luci will add the link to</w:t>
            </w:r>
            <w:r w:rsidR="00625F71">
              <w:t xml:space="preserve"> the </w:t>
            </w:r>
            <w:r>
              <w:t xml:space="preserve">Grad Studies </w:t>
            </w:r>
            <w:r w:rsidR="00625F71">
              <w:t xml:space="preserve">Grad Faculty Status page </w:t>
            </w:r>
            <w:r>
              <w:t>to the form.</w:t>
            </w:r>
          </w:p>
        </w:tc>
      </w:tr>
    </w:tbl>
    <w:p w:rsidR="00661B95" w:rsidRDefault="00661B95" w:rsidP="00661B95"/>
    <w:p w:rsidR="00661B95" w:rsidRDefault="00661B95" w:rsidP="00661B95">
      <w:r>
        <w:t>The meeting was adjourned at</w:t>
      </w:r>
      <w:r w:rsidR="00507960">
        <w:t xml:space="preserve"> 2:15 pm</w:t>
      </w:r>
    </w:p>
    <w:p w:rsidR="00661B95" w:rsidRPr="008C0AC9" w:rsidRDefault="00661B95" w:rsidP="00661B95">
      <w:pPr>
        <w:rPr>
          <w:b/>
        </w:rPr>
      </w:pPr>
      <w:r>
        <w:t>Next meeting:</w:t>
      </w:r>
      <w:r w:rsidR="008C0AC9">
        <w:t xml:space="preserve">  </w:t>
      </w:r>
      <w:r w:rsidR="00D6336D" w:rsidRPr="00D6336D">
        <w:rPr>
          <w:b/>
        </w:rPr>
        <w:t>Friday, January 25</w:t>
      </w:r>
      <w:r w:rsidR="00D6336D" w:rsidRPr="00D6336D">
        <w:rPr>
          <w:b/>
          <w:vertAlign w:val="superscript"/>
        </w:rPr>
        <w:t>th</w:t>
      </w:r>
      <w:r w:rsidR="00D6336D" w:rsidRPr="00D6336D">
        <w:rPr>
          <w:b/>
        </w:rPr>
        <w:t>, 10-11:45 am, WH-Rm 217</w:t>
      </w:r>
    </w:p>
    <w:p w:rsidR="00661B95" w:rsidRDefault="00661B95" w:rsidP="00661B95"/>
    <w:p w:rsidR="00661B95" w:rsidRDefault="00661B95" w:rsidP="00661B95">
      <w:r>
        <w:t>Respectfully submitted</w:t>
      </w:r>
    </w:p>
    <w:p w:rsidR="00661B95" w:rsidRPr="00661B95" w:rsidRDefault="00661B95" w:rsidP="00661B95">
      <w:r>
        <w:t>Luci Wymer, Recorder</w:t>
      </w:r>
    </w:p>
    <w:sectPr w:rsidR="00661B95" w:rsidRPr="00661B95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7B3A"/>
    <w:multiLevelType w:val="hybridMultilevel"/>
    <w:tmpl w:val="318C3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1A59"/>
    <w:multiLevelType w:val="hybridMultilevel"/>
    <w:tmpl w:val="ECD4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47636"/>
    <w:multiLevelType w:val="hybridMultilevel"/>
    <w:tmpl w:val="4582F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5"/>
    <w:rsid w:val="000A562D"/>
    <w:rsid w:val="001C476B"/>
    <w:rsid w:val="001E5E77"/>
    <w:rsid w:val="0020225C"/>
    <w:rsid w:val="00217476"/>
    <w:rsid w:val="002448D4"/>
    <w:rsid w:val="002451BA"/>
    <w:rsid w:val="00285CB0"/>
    <w:rsid w:val="003078BA"/>
    <w:rsid w:val="00334C5B"/>
    <w:rsid w:val="00335220"/>
    <w:rsid w:val="003368A9"/>
    <w:rsid w:val="003B10EC"/>
    <w:rsid w:val="004035E6"/>
    <w:rsid w:val="0040636B"/>
    <w:rsid w:val="004123C7"/>
    <w:rsid w:val="004A2315"/>
    <w:rsid w:val="004A42C8"/>
    <w:rsid w:val="00507960"/>
    <w:rsid w:val="005256D7"/>
    <w:rsid w:val="0059197D"/>
    <w:rsid w:val="005C4DB0"/>
    <w:rsid w:val="005C7D8F"/>
    <w:rsid w:val="005F5A4C"/>
    <w:rsid w:val="0060788B"/>
    <w:rsid w:val="00625F71"/>
    <w:rsid w:val="00653CDE"/>
    <w:rsid w:val="00661B95"/>
    <w:rsid w:val="006651FC"/>
    <w:rsid w:val="006655C2"/>
    <w:rsid w:val="00670036"/>
    <w:rsid w:val="006C78AF"/>
    <w:rsid w:val="006E756B"/>
    <w:rsid w:val="007057C5"/>
    <w:rsid w:val="00762A58"/>
    <w:rsid w:val="007A2867"/>
    <w:rsid w:val="007D7043"/>
    <w:rsid w:val="008117B4"/>
    <w:rsid w:val="00860492"/>
    <w:rsid w:val="008B10A0"/>
    <w:rsid w:val="008B2918"/>
    <w:rsid w:val="008C0AC9"/>
    <w:rsid w:val="00900ED1"/>
    <w:rsid w:val="00941B28"/>
    <w:rsid w:val="00946DD8"/>
    <w:rsid w:val="00966657"/>
    <w:rsid w:val="00974800"/>
    <w:rsid w:val="009824A3"/>
    <w:rsid w:val="00990360"/>
    <w:rsid w:val="00A167F6"/>
    <w:rsid w:val="00AC3B75"/>
    <w:rsid w:val="00AD15E9"/>
    <w:rsid w:val="00AF1B39"/>
    <w:rsid w:val="00B223A2"/>
    <w:rsid w:val="00B77C9A"/>
    <w:rsid w:val="00B8611D"/>
    <w:rsid w:val="00B943E4"/>
    <w:rsid w:val="00BA59B3"/>
    <w:rsid w:val="00C1217A"/>
    <w:rsid w:val="00C4581D"/>
    <w:rsid w:val="00C84FAC"/>
    <w:rsid w:val="00CB2728"/>
    <w:rsid w:val="00CF4A63"/>
    <w:rsid w:val="00CF64D5"/>
    <w:rsid w:val="00D36765"/>
    <w:rsid w:val="00D6336D"/>
    <w:rsid w:val="00DF3EF3"/>
    <w:rsid w:val="00E039DF"/>
    <w:rsid w:val="00E219C1"/>
    <w:rsid w:val="00E4373D"/>
    <w:rsid w:val="00E517F6"/>
    <w:rsid w:val="00E85FEF"/>
    <w:rsid w:val="00F514D7"/>
    <w:rsid w:val="00FF2ABA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EHHS</dc:creator>
  <cp:lastModifiedBy>Kent User</cp:lastModifiedBy>
  <cp:revision>2</cp:revision>
  <dcterms:created xsi:type="dcterms:W3CDTF">2012-12-19T20:13:00Z</dcterms:created>
  <dcterms:modified xsi:type="dcterms:W3CDTF">2012-12-19T20:13:00Z</dcterms:modified>
</cp:coreProperties>
</file>