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2F4AEF" w:rsidRDefault="007057C5" w:rsidP="00661B95">
      <w:pPr>
        <w:jc w:val="center"/>
        <w:rPr>
          <w:b/>
          <w:sz w:val="22"/>
        </w:rPr>
      </w:pPr>
      <w:r w:rsidRPr="002F4AEF">
        <w:rPr>
          <w:b/>
          <w:sz w:val="22"/>
        </w:rPr>
        <w:t>GRADUATE PROGRAM COORDINATORS MEETING</w:t>
      </w:r>
    </w:p>
    <w:p w:rsidR="00661B95" w:rsidRPr="002F4AEF" w:rsidRDefault="004D78C6" w:rsidP="00661B95">
      <w:pPr>
        <w:jc w:val="center"/>
        <w:rPr>
          <w:b/>
          <w:sz w:val="22"/>
        </w:rPr>
      </w:pPr>
      <w:r w:rsidRPr="002F4AEF">
        <w:rPr>
          <w:b/>
          <w:sz w:val="22"/>
        </w:rPr>
        <w:t>April 28, 2011</w:t>
      </w:r>
    </w:p>
    <w:p w:rsidR="00661B95" w:rsidRDefault="00661B95" w:rsidP="00661B95">
      <w:pPr>
        <w:jc w:val="center"/>
      </w:pPr>
    </w:p>
    <w:p w:rsidR="00A267D9" w:rsidRPr="00BB3F7E" w:rsidRDefault="00A267D9" w:rsidP="00A267D9">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A267D9" w:rsidRPr="00BB3F7E" w:rsidTr="000E6606">
        <w:tc>
          <w:tcPr>
            <w:tcW w:w="2574" w:type="dxa"/>
          </w:tcPr>
          <w:p w:rsidR="00A267D9" w:rsidRPr="00BB3F7E" w:rsidRDefault="00A267D9" w:rsidP="000E6606">
            <w:pPr>
              <w:jc w:val="center"/>
              <w:rPr>
                <w:b/>
                <w:sz w:val="18"/>
                <w:szCs w:val="18"/>
              </w:rPr>
            </w:pPr>
            <w:r w:rsidRPr="00BB3F7E">
              <w:rPr>
                <w:b/>
                <w:sz w:val="18"/>
                <w:szCs w:val="18"/>
              </w:rPr>
              <w:t>FLA</w:t>
            </w:r>
          </w:p>
        </w:tc>
        <w:tc>
          <w:tcPr>
            <w:tcW w:w="2574" w:type="dxa"/>
          </w:tcPr>
          <w:p w:rsidR="00A267D9" w:rsidRPr="00BB3F7E" w:rsidRDefault="00A267D9" w:rsidP="000E6606">
            <w:pPr>
              <w:jc w:val="center"/>
              <w:rPr>
                <w:b/>
                <w:sz w:val="18"/>
                <w:szCs w:val="18"/>
              </w:rPr>
            </w:pPr>
            <w:r w:rsidRPr="00BB3F7E">
              <w:rPr>
                <w:b/>
                <w:sz w:val="18"/>
                <w:szCs w:val="18"/>
              </w:rPr>
              <w:t>HS</w:t>
            </w:r>
          </w:p>
        </w:tc>
        <w:tc>
          <w:tcPr>
            <w:tcW w:w="2574" w:type="dxa"/>
          </w:tcPr>
          <w:p w:rsidR="00A267D9" w:rsidRPr="00BB3F7E" w:rsidRDefault="00A267D9" w:rsidP="000E6606">
            <w:pPr>
              <w:jc w:val="center"/>
              <w:rPr>
                <w:b/>
                <w:sz w:val="18"/>
                <w:szCs w:val="18"/>
              </w:rPr>
            </w:pPr>
            <w:r w:rsidRPr="00BB3F7E">
              <w:rPr>
                <w:b/>
                <w:sz w:val="18"/>
                <w:szCs w:val="18"/>
              </w:rPr>
              <w:t>LDES</w:t>
            </w:r>
          </w:p>
        </w:tc>
        <w:tc>
          <w:tcPr>
            <w:tcW w:w="2574" w:type="dxa"/>
          </w:tcPr>
          <w:p w:rsidR="00A267D9" w:rsidRPr="00BB3F7E" w:rsidRDefault="00A267D9" w:rsidP="000E6606">
            <w:pPr>
              <w:jc w:val="center"/>
              <w:rPr>
                <w:b/>
                <w:sz w:val="18"/>
                <w:szCs w:val="18"/>
              </w:rPr>
            </w:pPr>
            <w:r w:rsidRPr="00BB3F7E">
              <w:rPr>
                <w:b/>
                <w:sz w:val="18"/>
                <w:szCs w:val="18"/>
              </w:rPr>
              <w:t>TLC</w:t>
            </w:r>
          </w:p>
        </w:tc>
      </w:tr>
      <w:tr w:rsidR="00A267D9" w:rsidRPr="00BB3F7E" w:rsidTr="000E6606">
        <w:trPr>
          <w:trHeight w:val="233"/>
        </w:trPr>
        <w:tc>
          <w:tcPr>
            <w:tcW w:w="2574" w:type="dxa"/>
            <w:shd w:val="clear" w:color="auto" w:fill="auto"/>
          </w:tcPr>
          <w:p w:rsidR="00A267D9" w:rsidRPr="00BB3F7E" w:rsidRDefault="00A267D9" w:rsidP="000E6606">
            <w:pPr>
              <w:rPr>
                <w:sz w:val="18"/>
                <w:szCs w:val="18"/>
              </w:rPr>
            </w:pPr>
            <w:r w:rsidRPr="00BB3F7E">
              <w:rPr>
                <w:sz w:val="18"/>
                <w:szCs w:val="18"/>
              </w:rPr>
              <w:t>Hackney, Cathy</w:t>
            </w:r>
          </w:p>
        </w:tc>
        <w:tc>
          <w:tcPr>
            <w:tcW w:w="2574" w:type="dxa"/>
            <w:shd w:val="clear" w:color="auto" w:fill="auto"/>
          </w:tcPr>
          <w:p w:rsidR="00A267D9" w:rsidRPr="00BB3F7E" w:rsidRDefault="00A267D9" w:rsidP="000E6606">
            <w:pPr>
              <w:rPr>
                <w:sz w:val="18"/>
                <w:szCs w:val="18"/>
              </w:rPr>
            </w:pPr>
            <w:r w:rsidRPr="00BB3F7E">
              <w:rPr>
                <w:sz w:val="18"/>
                <w:szCs w:val="18"/>
              </w:rPr>
              <w:t>Glickman, Ellen</w:t>
            </w:r>
          </w:p>
        </w:tc>
        <w:tc>
          <w:tcPr>
            <w:tcW w:w="2574" w:type="dxa"/>
            <w:shd w:val="clear" w:color="auto" w:fill="auto"/>
          </w:tcPr>
          <w:p w:rsidR="00A267D9" w:rsidRPr="00BB3F7E" w:rsidRDefault="00A267D9" w:rsidP="000E6606">
            <w:pPr>
              <w:rPr>
                <w:sz w:val="18"/>
                <w:szCs w:val="18"/>
              </w:rPr>
            </w:pPr>
            <w:r>
              <w:rPr>
                <w:sz w:val="18"/>
                <w:szCs w:val="18"/>
              </w:rPr>
              <w:t>Barton, Lyle</w:t>
            </w:r>
          </w:p>
        </w:tc>
        <w:tc>
          <w:tcPr>
            <w:tcW w:w="2574" w:type="dxa"/>
            <w:shd w:val="clear" w:color="auto" w:fill="auto"/>
          </w:tcPr>
          <w:p w:rsidR="00A267D9" w:rsidRPr="00BB3F7E" w:rsidRDefault="005E052E" w:rsidP="000E6606">
            <w:pPr>
              <w:rPr>
                <w:sz w:val="18"/>
                <w:szCs w:val="18"/>
              </w:rPr>
            </w:pPr>
            <w:r w:rsidRPr="00BB3F7E">
              <w:rPr>
                <w:sz w:val="18"/>
                <w:szCs w:val="18"/>
              </w:rPr>
              <w:t>Hutchison, Janice</w:t>
            </w:r>
          </w:p>
        </w:tc>
      </w:tr>
      <w:tr w:rsidR="00A267D9" w:rsidRPr="00BB3F7E" w:rsidTr="000E6606">
        <w:trPr>
          <w:trHeight w:val="233"/>
        </w:trPr>
        <w:tc>
          <w:tcPr>
            <w:tcW w:w="2574" w:type="dxa"/>
            <w:shd w:val="clear" w:color="auto" w:fill="auto"/>
          </w:tcPr>
          <w:p w:rsidR="00A267D9" w:rsidRPr="00BB3F7E" w:rsidRDefault="00A267D9" w:rsidP="000E6606">
            <w:pPr>
              <w:rPr>
                <w:sz w:val="18"/>
                <w:szCs w:val="18"/>
              </w:rPr>
            </w:pPr>
            <w:r w:rsidRPr="00BB3F7E">
              <w:rPr>
                <w:sz w:val="18"/>
                <w:szCs w:val="18"/>
              </w:rPr>
              <w:t>Kretovics, Mark</w:t>
            </w:r>
          </w:p>
        </w:tc>
        <w:tc>
          <w:tcPr>
            <w:tcW w:w="2574" w:type="dxa"/>
            <w:shd w:val="clear" w:color="auto" w:fill="auto"/>
          </w:tcPr>
          <w:p w:rsidR="00A267D9" w:rsidRPr="00BB3F7E" w:rsidRDefault="00A267D9" w:rsidP="000E6606">
            <w:pPr>
              <w:rPr>
                <w:sz w:val="18"/>
                <w:szCs w:val="18"/>
              </w:rPr>
            </w:pPr>
            <w:r w:rsidRPr="00BB3F7E">
              <w:rPr>
                <w:sz w:val="18"/>
                <w:szCs w:val="18"/>
              </w:rPr>
              <w:t>Gordon, Karen</w:t>
            </w:r>
          </w:p>
        </w:tc>
        <w:tc>
          <w:tcPr>
            <w:tcW w:w="2574" w:type="dxa"/>
            <w:shd w:val="clear" w:color="auto" w:fill="auto"/>
          </w:tcPr>
          <w:p w:rsidR="00A267D9" w:rsidRPr="00BB3F7E" w:rsidRDefault="005E052E" w:rsidP="000E6606">
            <w:pPr>
              <w:rPr>
                <w:sz w:val="18"/>
                <w:szCs w:val="18"/>
              </w:rPr>
            </w:pPr>
            <w:r w:rsidRPr="00BB3F7E">
              <w:rPr>
                <w:sz w:val="18"/>
                <w:szCs w:val="18"/>
              </w:rPr>
              <w:t>Richardson, Rhonda</w:t>
            </w:r>
          </w:p>
        </w:tc>
        <w:tc>
          <w:tcPr>
            <w:tcW w:w="2574" w:type="dxa"/>
            <w:shd w:val="clear" w:color="auto" w:fill="auto"/>
          </w:tcPr>
          <w:p w:rsidR="00A267D9" w:rsidRPr="00BB3F7E" w:rsidRDefault="005E052E" w:rsidP="000E6606">
            <w:pPr>
              <w:rPr>
                <w:sz w:val="18"/>
                <w:szCs w:val="18"/>
              </w:rPr>
            </w:pPr>
            <w:r w:rsidRPr="00BB3F7E">
              <w:rPr>
                <w:sz w:val="18"/>
                <w:szCs w:val="18"/>
              </w:rPr>
              <w:t>Morgan, Denise</w:t>
            </w:r>
          </w:p>
        </w:tc>
      </w:tr>
      <w:tr w:rsidR="00A267D9" w:rsidRPr="00BB3F7E" w:rsidTr="000E6606">
        <w:tc>
          <w:tcPr>
            <w:tcW w:w="2574" w:type="dxa"/>
            <w:shd w:val="clear" w:color="auto" w:fill="auto"/>
          </w:tcPr>
          <w:p w:rsidR="00A267D9" w:rsidRPr="00BB3F7E" w:rsidRDefault="00A267D9" w:rsidP="000E6606">
            <w:pPr>
              <w:rPr>
                <w:sz w:val="18"/>
                <w:szCs w:val="18"/>
              </w:rPr>
            </w:pPr>
            <w:r w:rsidRPr="00BB3F7E">
              <w:rPr>
                <w:sz w:val="18"/>
                <w:szCs w:val="18"/>
              </w:rPr>
              <w:t>McClelland, Averil</w:t>
            </w:r>
          </w:p>
        </w:tc>
        <w:tc>
          <w:tcPr>
            <w:tcW w:w="2574" w:type="dxa"/>
            <w:shd w:val="clear" w:color="auto" w:fill="auto"/>
          </w:tcPr>
          <w:p w:rsidR="00A267D9" w:rsidRPr="00BB3F7E" w:rsidRDefault="00A267D9" w:rsidP="000E6606">
            <w:pPr>
              <w:rPr>
                <w:sz w:val="18"/>
                <w:szCs w:val="18"/>
              </w:rPr>
            </w:pPr>
            <w:r w:rsidRPr="00BB3F7E">
              <w:rPr>
                <w:sz w:val="18"/>
                <w:szCs w:val="18"/>
              </w:rPr>
              <w:t>Kerr, Dianne</w:t>
            </w:r>
          </w:p>
        </w:tc>
        <w:tc>
          <w:tcPr>
            <w:tcW w:w="2574" w:type="dxa"/>
            <w:shd w:val="clear" w:color="auto" w:fill="auto"/>
          </w:tcPr>
          <w:p w:rsidR="00A267D9" w:rsidRPr="00BB3F7E" w:rsidRDefault="005E052E" w:rsidP="000E6606">
            <w:pPr>
              <w:rPr>
                <w:sz w:val="18"/>
                <w:szCs w:val="18"/>
              </w:rPr>
            </w:pPr>
            <w:r w:rsidRPr="00BB3F7E">
              <w:rPr>
                <w:sz w:val="18"/>
                <w:szCs w:val="18"/>
              </w:rPr>
              <w:t>Tiene, Drew</w:t>
            </w:r>
          </w:p>
        </w:tc>
        <w:tc>
          <w:tcPr>
            <w:tcW w:w="2574" w:type="dxa"/>
            <w:shd w:val="clear" w:color="auto" w:fill="auto"/>
          </w:tcPr>
          <w:p w:rsidR="00A267D9" w:rsidRPr="00BB3F7E" w:rsidRDefault="00A267D9" w:rsidP="000E6606">
            <w:pPr>
              <w:rPr>
                <w:sz w:val="18"/>
                <w:szCs w:val="18"/>
              </w:rPr>
            </w:pPr>
          </w:p>
        </w:tc>
      </w:tr>
      <w:tr w:rsidR="00A267D9" w:rsidRPr="00BB3F7E" w:rsidTr="000E6606">
        <w:tc>
          <w:tcPr>
            <w:tcW w:w="2574" w:type="dxa"/>
            <w:shd w:val="clear" w:color="auto" w:fill="auto"/>
          </w:tcPr>
          <w:p w:rsidR="00A267D9" w:rsidRPr="00BB3F7E" w:rsidRDefault="00A267D9" w:rsidP="000E6606">
            <w:pPr>
              <w:rPr>
                <w:sz w:val="18"/>
                <w:szCs w:val="18"/>
              </w:rPr>
            </w:pPr>
            <w:r w:rsidRPr="00BB3F7E">
              <w:rPr>
                <w:sz w:val="18"/>
                <w:szCs w:val="18"/>
              </w:rPr>
              <w:t>Niesz, Tricia</w:t>
            </w:r>
          </w:p>
        </w:tc>
        <w:tc>
          <w:tcPr>
            <w:tcW w:w="2574" w:type="dxa"/>
            <w:shd w:val="clear" w:color="auto" w:fill="auto"/>
          </w:tcPr>
          <w:p w:rsidR="00A267D9" w:rsidRPr="00BB3F7E" w:rsidRDefault="00A267D9" w:rsidP="000E6606">
            <w:pPr>
              <w:rPr>
                <w:sz w:val="18"/>
                <w:szCs w:val="18"/>
              </w:rPr>
            </w:pPr>
          </w:p>
        </w:tc>
        <w:tc>
          <w:tcPr>
            <w:tcW w:w="2574" w:type="dxa"/>
            <w:shd w:val="clear" w:color="auto" w:fill="auto"/>
          </w:tcPr>
          <w:p w:rsidR="00A267D9" w:rsidRPr="00BB3F7E" w:rsidRDefault="00A267D9" w:rsidP="000E6606">
            <w:pPr>
              <w:rPr>
                <w:sz w:val="18"/>
                <w:szCs w:val="18"/>
              </w:rPr>
            </w:pPr>
          </w:p>
        </w:tc>
        <w:tc>
          <w:tcPr>
            <w:tcW w:w="2574" w:type="dxa"/>
            <w:shd w:val="clear" w:color="auto" w:fill="auto"/>
          </w:tcPr>
          <w:p w:rsidR="00A267D9" w:rsidRPr="00BB3F7E" w:rsidRDefault="00A267D9" w:rsidP="000E6606">
            <w:pPr>
              <w:rPr>
                <w:sz w:val="18"/>
                <w:szCs w:val="18"/>
              </w:rPr>
            </w:pPr>
          </w:p>
        </w:tc>
      </w:tr>
      <w:tr w:rsidR="00A267D9" w:rsidRPr="00BB3F7E" w:rsidTr="000E6606">
        <w:tc>
          <w:tcPr>
            <w:tcW w:w="2574" w:type="dxa"/>
            <w:shd w:val="clear" w:color="auto" w:fill="auto"/>
          </w:tcPr>
          <w:p w:rsidR="00A267D9" w:rsidRPr="00BB3F7E" w:rsidRDefault="00A267D9" w:rsidP="000E6606">
            <w:pPr>
              <w:rPr>
                <w:sz w:val="18"/>
                <w:szCs w:val="18"/>
              </w:rPr>
            </w:pPr>
            <w:r w:rsidRPr="00BB3F7E">
              <w:rPr>
                <w:sz w:val="18"/>
                <w:szCs w:val="18"/>
              </w:rPr>
              <w:t>Scheule, Barb</w:t>
            </w:r>
          </w:p>
        </w:tc>
        <w:tc>
          <w:tcPr>
            <w:tcW w:w="2574" w:type="dxa"/>
            <w:shd w:val="clear" w:color="auto" w:fill="auto"/>
          </w:tcPr>
          <w:p w:rsidR="00A267D9" w:rsidRPr="00BB3F7E" w:rsidRDefault="00A267D9" w:rsidP="000E6606">
            <w:pPr>
              <w:rPr>
                <w:sz w:val="18"/>
                <w:szCs w:val="18"/>
              </w:rPr>
            </w:pPr>
          </w:p>
        </w:tc>
        <w:tc>
          <w:tcPr>
            <w:tcW w:w="2574" w:type="dxa"/>
            <w:shd w:val="clear" w:color="auto" w:fill="auto"/>
          </w:tcPr>
          <w:p w:rsidR="00A267D9" w:rsidRPr="00BB3F7E" w:rsidRDefault="00A267D9" w:rsidP="000E6606">
            <w:pPr>
              <w:rPr>
                <w:sz w:val="18"/>
                <w:szCs w:val="18"/>
              </w:rPr>
            </w:pPr>
          </w:p>
        </w:tc>
        <w:tc>
          <w:tcPr>
            <w:tcW w:w="2574" w:type="dxa"/>
            <w:shd w:val="clear" w:color="auto" w:fill="auto"/>
          </w:tcPr>
          <w:p w:rsidR="00A267D9" w:rsidRPr="00BB3F7E" w:rsidRDefault="00A267D9" w:rsidP="000E6606">
            <w:pPr>
              <w:rPr>
                <w:sz w:val="18"/>
                <w:szCs w:val="18"/>
              </w:rPr>
            </w:pPr>
          </w:p>
        </w:tc>
      </w:tr>
    </w:tbl>
    <w:p w:rsidR="00A267D9" w:rsidRPr="00BB3F7E" w:rsidRDefault="00A267D9" w:rsidP="00A267D9">
      <w:pPr>
        <w:rPr>
          <w:sz w:val="18"/>
          <w:szCs w:val="18"/>
        </w:rPr>
      </w:pPr>
      <w:r w:rsidRPr="00BB3F7E">
        <w:rPr>
          <w:sz w:val="18"/>
          <w:szCs w:val="18"/>
        </w:rPr>
        <w:t xml:space="preserve">Nancy Barbour, Admin. Affairs; Nancy Miller, OGSS; </w:t>
      </w:r>
      <w:r>
        <w:rPr>
          <w:sz w:val="18"/>
          <w:szCs w:val="18"/>
        </w:rPr>
        <w:t>Luci Wymer, Recorder</w:t>
      </w:r>
    </w:p>
    <w:p w:rsidR="00A267D9" w:rsidRPr="00BB3F7E" w:rsidRDefault="00A267D9" w:rsidP="00A267D9">
      <w:pPr>
        <w:rPr>
          <w:sz w:val="18"/>
          <w:szCs w:val="18"/>
        </w:rPr>
      </w:pPr>
    </w:p>
    <w:p w:rsidR="00A267D9" w:rsidRPr="00BB3F7E" w:rsidRDefault="00A267D9" w:rsidP="00A267D9">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A267D9" w:rsidRPr="00BB3F7E" w:rsidTr="000E6606">
        <w:trPr>
          <w:trHeight w:val="260"/>
        </w:trPr>
        <w:tc>
          <w:tcPr>
            <w:tcW w:w="2574" w:type="dxa"/>
          </w:tcPr>
          <w:p w:rsidR="00A267D9" w:rsidRPr="00BB3F7E" w:rsidRDefault="00A267D9" w:rsidP="000E6606">
            <w:pPr>
              <w:jc w:val="center"/>
              <w:rPr>
                <w:b/>
                <w:sz w:val="18"/>
                <w:szCs w:val="18"/>
              </w:rPr>
            </w:pPr>
            <w:r w:rsidRPr="00BB3F7E">
              <w:rPr>
                <w:b/>
                <w:sz w:val="18"/>
                <w:szCs w:val="18"/>
              </w:rPr>
              <w:t>FLA</w:t>
            </w:r>
          </w:p>
        </w:tc>
        <w:tc>
          <w:tcPr>
            <w:tcW w:w="2574" w:type="dxa"/>
          </w:tcPr>
          <w:p w:rsidR="00A267D9" w:rsidRPr="00BB3F7E" w:rsidRDefault="00A267D9" w:rsidP="000E6606">
            <w:pPr>
              <w:jc w:val="center"/>
              <w:rPr>
                <w:b/>
                <w:sz w:val="18"/>
                <w:szCs w:val="18"/>
              </w:rPr>
            </w:pPr>
            <w:r w:rsidRPr="00BB3F7E">
              <w:rPr>
                <w:b/>
                <w:sz w:val="18"/>
                <w:szCs w:val="18"/>
              </w:rPr>
              <w:t>HS</w:t>
            </w:r>
          </w:p>
        </w:tc>
        <w:tc>
          <w:tcPr>
            <w:tcW w:w="2574" w:type="dxa"/>
          </w:tcPr>
          <w:p w:rsidR="00A267D9" w:rsidRPr="00BB3F7E" w:rsidRDefault="00A267D9" w:rsidP="000E6606">
            <w:pPr>
              <w:jc w:val="center"/>
              <w:rPr>
                <w:b/>
                <w:sz w:val="18"/>
                <w:szCs w:val="18"/>
              </w:rPr>
            </w:pPr>
            <w:r w:rsidRPr="00BB3F7E">
              <w:rPr>
                <w:b/>
                <w:sz w:val="18"/>
                <w:szCs w:val="18"/>
              </w:rPr>
              <w:t>LDES</w:t>
            </w:r>
          </w:p>
        </w:tc>
        <w:tc>
          <w:tcPr>
            <w:tcW w:w="2574" w:type="dxa"/>
          </w:tcPr>
          <w:p w:rsidR="00A267D9" w:rsidRPr="00BB3F7E" w:rsidRDefault="00A267D9" w:rsidP="000E6606">
            <w:pPr>
              <w:jc w:val="center"/>
              <w:rPr>
                <w:b/>
                <w:sz w:val="18"/>
                <w:szCs w:val="18"/>
              </w:rPr>
            </w:pPr>
            <w:r w:rsidRPr="00BB3F7E">
              <w:rPr>
                <w:b/>
                <w:sz w:val="18"/>
                <w:szCs w:val="18"/>
              </w:rPr>
              <w:t>TLC</w:t>
            </w:r>
          </w:p>
        </w:tc>
      </w:tr>
      <w:tr w:rsidR="00A267D9" w:rsidRPr="00BB3F7E" w:rsidTr="000E6606">
        <w:trPr>
          <w:trHeight w:val="233"/>
        </w:trPr>
        <w:tc>
          <w:tcPr>
            <w:tcW w:w="2574" w:type="dxa"/>
          </w:tcPr>
          <w:p w:rsidR="00A267D9" w:rsidRPr="00BB3F7E" w:rsidRDefault="00A267D9" w:rsidP="000E6606">
            <w:pPr>
              <w:rPr>
                <w:sz w:val="18"/>
                <w:szCs w:val="18"/>
              </w:rPr>
            </w:pPr>
            <w:r w:rsidRPr="00BB3F7E">
              <w:rPr>
                <w:sz w:val="18"/>
                <w:szCs w:val="18"/>
              </w:rPr>
              <w:t>Devine, Mary Ann</w:t>
            </w:r>
          </w:p>
        </w:tc>
        <w:tc>
          <w:tcPr>
            <w:tcW w:w="2574" w:type="dxa"/>
          </w:tcPr>
          <w:p w:rsidR="00A267D9" w:rsidRPr="00BB3F7E" w:rsidRDefault="00A267D9" w:rsidP="000E6606">
            <w:pPr>
              <w:rPr>
                <w:sz w:val="18"/>
                <w:szCs w:val="18"/>
              </w:rPr>
            </w:pPr>
            <w:r w:rsidRPr="00BB3F7E">
              <w:rPr>
                <w:sz w:val="18"/>
                <w:szCs w:val="18"/>
              </w:rPr>
              <w:t>Hawks, John</w:t>
            </w:r>
          </w:p>
        </w:tc>
        <w:tc>
          <w:tcPr>
            <w:tcW w:w="2574" w:type="dxa"/>
          </w:tcPr>
          <w:p w:rsidR="00A267D9" w:rsidRPr="00BB3F7E" w:rsidRDefault="005E052E" w:rsidP="000E6606">
            <w:pPr>
              <w:rPr>
                <w:sz w:val="18"/>
                <w:szCs w:val="18"/>
              </w:rPr>
            </w:pPr>
            <w:r w:rsidRPr="00BB3F7E">
              <w:rPr>
                <w:sz w:val="18"/>
                <w:szCs w:val="18"/>
              </w:rPr>
              <w:t>Cowan, Richard</w:t>
            </w:r>
          </w:p>
        </w:tc>
        <w:tc>
          <w:tcPr>
            <w:tcW w:w="2574" w:type="dxa"/>
          </w:tcPr>
          <w:p w:rsidR="00A267D9" w:rsidRPr="00BB3F7E" w:rsidRDefault="00A267D9" w:rsidP="000E6606">
            <w:pPr>
              <w:rPr>
                <w:sz w:val="18"/>
                <w:szCs w:val="18"/>
              </w:rPr>
            </w:pPr>
            <w:r w:rsidRPr="00BB3F7E">
              <w:rPr>
                <w:sz w:val="18"/>
                <w:szCs w:val="18"/>
              </w:rPr>
              <w:t>Brooks, Bette</w:t>
            </w:r>
          </w:p>
        </w:tc>
      </w:tr>
      <w:tr w:rsidR="00A267D9" w:rsidRPr="00BB3F7E" w:rsidTr="000E6606">
        <w:tc>
          <w:tcPr>
            <w:tcW w:w="2574" w:type="dxa"/>
          </w:tcPr>
          <w:p w:rsidR="00A267D9" w:rsidRPr="00BB3F7E" w:rsidRDefault="00A267D9" w:rsidP="000E6606">
            <w:pPr>
              <w:rPr>
                <w:sz w:val="18"/>
                <w:szCs w:val="18"/>
              </w:rPr>
            </w:pPr>
            <w:r w:rsidRPr="00BB3F7E">
              <w:rPr>
                <w:sz w:val="18"/>
                <w:szCs w:val="18"/>
              </w:rPr>
              <w:t>Lyberger, Mark</w:t>
            </w:r>
          </w:p>
        </w:tc>
        <w:tc>
          <w:tcPr>
            <w:tcW w:w="2574" w:type="dxa"/>
          </w:tcPr>
          <w:p w:rsidR="00A267D9" w:rsidRPr="00BB3F7E" w:rsidRDefault="00A267D9" w:rsidP="000E6606">
            <w:pPr>
              <w:rPr>
                <w:sz w:val="18"/>
                <w:szCs w:val="18"/>
              </w:rPr>
            </w:pPr>
            <w:r w:rsidRPr="00BB3F7E">
              <w:rPr>
                <w:sz w:val="18"/>
                <w:szCs w:val="18"/>
              </w:rPr>
              <w:t>Peer, Kim</w:t>
            </w:r>
          </w:p>
        </w:tc>
        <w:tc>
          <w:tcPr>
            <w:tcW w:w="2574" w:type="dxa"/>
          </w:tcPr>
          <w:p w:rsidR="00A267D9" w:rsidRPr="00BB3F7E" w:rsidRDefault="005E052E" w:rsidP="000E6606">
            <w:pPr>
              <w:rPr>
                <w:sz w:val="18"/>
                <w:szCs w:val="18"/>
              </w:rPr>
            </w:pPr>
            <w:r w:rsidRPr="00BB3F7E">
              <w:rPr>
                <w:sz w:val="18"/>
                <w:szCs w:val="18"/>
              </w:rPr>
              <w:t>McGlothlin, Jason</w:t>
            </w:r>
          </w:p>
        </w:tc>
        <w:tc>
          <w:tcPr>
            <w:tcW w:w="2574" w:type="dxa"/>
          </w:tcPr>
          <w:p w:rsidR="00A267D9" w:rsidRPr="00BB3F7E" w:rsidRDefault="00A267D9" w:rsidP="000E6606">
            <w:pPr>
              <w:rPr>
                <w:sz w:val="18"/>
                <w:szCs w:val="18"/>
              </w:rPr>
            </w:pPr>
            <w:r w:rsidRPr="00BB3F7E">
              <w:rPr>
                <w:sz w:val="18"/>
                <w:szCs w:val="18"/>
              </w:rPr>
              <w:t>Collier, Connie</w:t>
            </w:r>
          </w:p>
        </w:tc>
      </w:tr>
      <w:tr w:rsidR="00A267D9" w:rsidRPr="00BB3F7E" w:rsidTr="000E6606">
        <w:tc>
          <w:tcPr>
            <w:tcW w:w="2574" w:type="dxa"/>
          </w:tcPr>
          <w:p w:rsidR="00A267D9" w:rsidRPr="00BB3F7E" w:rsidRDefault="00A267D9" w:rsidP="000E6606">
            <w:pPr>
              <w:rPr>
                <w:sz w:val="18"/>
                <w:szCs w:val="18"/>
              </w:rPr>
            </w:pPr>
          </w:p>
        </w:tc>
        <w:tc>
          <w:tcPr>
            <w:tcW w:w="2574" w:type="dxa"/>
          </w:tcPr>
          <w:p w:rsidR="00A267D9" w:rsidRPr="00BB3F7E" w:rsidRDefault="00A267D9" w:rsidP="000E6606">
            <w:pPr>
              <w:rPr>
                <w:sz w:val="18"/>
                <w:szCs w:val="18"/>
              </w:rPr>
            </w:pPr>
          </w:p>
        </w:tc>
        <w:tc>
          <w:tcPr>
            <w:tcW w:w="2574" w:type="dxa"/>
          </w:tcPr>
          <w:p w:rsidR="00A267D9" w:rsidRPr="00BB3F7E" w:rsidRDefault="005E052E" w:rsidP="000E6606">
            <w:pPr>
              <w:rPr>
                <w:sz w:val="18"/>
                <w:szCs w:val="18"/>
              </w:rPr>
            </w:pPr>
            <w:r w:rsidRPr="00BB3F7E">
              <w:rPr>
                <w:sz w:val="18"/>
                <w:szCs w:val="18"/>
              </w:rPr>
              <w:t>Rumrill, Phil</w:t>
            </w:r>
          </w:p>
        </w:tc>
        <w:tc>
          <w:tcPr>
            <w:tcW w:w="2574" w:type="dxa"/>
          </w:tcPr>
          <w:p w:rsidR="00A267D9" w:rsidRPr="00BB3F7E" w:rsidRDefault="005E052E" w:rsidP="000E6606">
            <w:pPr>
              <w:rPr>
                <w:sz w:val="18"/>
                <w:szCs w:val="18"/>
              </w:rPr>
            </w:pPr>
            <w:r w:rsidRPr="00BB3F7E">
              <w:rPr>
                <w:sz w:val="18"/>
                <w:szCs w:val="18"/>
              </w:rPr>
              <w:t>Henderson, Jim</w:t>
            </w:r>
          </w:p>
        </w:tc>
      </w:tr>
      <w:tr w:rsidR="00A267D9" w:rsidRPr="00BB3F7E" w:rsidTr="000E6606">
        <w:tc>
          <w:tcPr>
            <w:tcW w:w="2574" w:type="dxa"/>
          </w:tcPr>
          <w:p w:rsidR="00A267D9" w:rsidRPr="00BB3F7E" w:rsidRDefault="00A267D9" w:rsidP="000E6606">
            <w:pPr>
              <w:rPr>
                <w:sz w:val="18"/>
                <w:szCs w:val="18"/>
              </w:rPr>
            </w:pPr>
          </w:p>
        </w:tc>
        <w:tc>
          <w:tcPr>
            <w:tcW w:w="2574" w:type="dxa"/>
          </w:tcPr>
          <w:p w:rsidR="00A267D9" w:rsidRDefault="00A267D9" w:rsidP="000E6606">
            <w:pPr>
              <w:rPr>
                <w:sz w:val="18"/>
                <w:szCs w:val="18"/>
              </w:rPr>
            </w:pPr>
          </w:p>
        </w:tc>
        <w:tc>
          <w:tcPr>
            <w:tcW w:w="2574" w:type="dxa"/>
          </w:tcPr>
          <w:p w:rsidR="00A267D9" w:rsidRPr="00BB3F7E" w:rsidRDefault="005E052E" w:rsidP="000E6606">
            <w:pPr>
              <w:rPr>
                <w:sz w:val="18"/>
                <w:szCs w:val="18"/>
              </w:rPr>
            </w:pPr>
            <w:r w:rsidRPr="00BB3F7E">
              <w:rPr>
                <w:sz w:val="18"/>
                <w:szCs w:val="18"/>
              </w:rPr>
              <w:t>West, John</w:t>
            </w:r>
          </w:p>
        </w:tc>
        <w:tc>
          <w:tcPr>
            <w:tcW w:w="2574" w:type="dxa"/>
          </w:tcPr>
          <w:p w:rsidR="00A267D9" w:rsidRPr="00BB3F7E" w:rsidRDefault="005E052E" w:rsidP="000E6606">
            <w:pPr>
              <w:rPr>
                <w:sz w:val="18"/>
                <w:szCs w:val="18"/>
              </w:rPr>
            </w:pPr>
            <w:r>
              <w:rPr>
                <w:sz w:val="18"/>
                <w:szCs w:val="18"/>
              </w:rPr>
              <w:t>Kroeger, Janice</w:t>
            </w:r>
          </w:p>
        </w:tc>
      </w:tr>
      <w:tr w:rsidR="005E052E" w:rsidRPr="00BB3F7E" w:rsidTr="000E6606">
        <w:tc>
          <w:tcPr>
            <w:tcW w:w="2574" w:type="dxa"/>
          </w:tcPr>
          <w:p w:rsidR="005E052E" w:rsidRPr="00BB3F7E" w:rsidRDefault="005E052E" w:rsidP="000E6606">
            <w:pPr>
              <w:rPr>
                <w:sz w:val="18"/>
                <w:szCs w:val="18"/>
              </w:rPr>
            </w:pPr>
          </w:p>
        </w:tc>
        <w:tc>
          <w:tcPr>
            <w:tcW w:w="2574" w:type="dxa"/>
          </w:tcPr>
          <w:p w:rsidR="005E052E" w:rsidRDefault="005E052E" w:rsidP="000E6606">
            <w:pPr>
              <w:rPr>
                <w:sz w:val="18"/>
                <w:szCs w:val="18"/>
              </w:rPr>
            </w:pPr>
          </w:p>
        </w:tc>
        <w:tc>
          <w:tcPr>
            <w:tcW w:w="2574" w:type="dxa"/>
          </w:tcPr>
          <w:p w:rsidR="005E052E" w:rsidRPr="00BB3F7E" w:rsidRDefault="005E052E" w:rsidP="000E6606">
            <w:pPr>
              <w:rPr>
                <w:sz w:val="18"/>
                <w:szCs w:val="18"/>
              </w:rPr>
            </w:pPr>
          </w:p>
        </w:tc>
        <w:tc>
          <w:tcPr>
            <w:tcW w:w="2574" w:type="dxa"/>
          </w:tcPr>
          <w:p w:rsidR="005E052E" w:rsidRPr="00BB3F7E" w:rsidRDefault="005E052E" w:rsidP="000E6606">
            <w:pPr>
              <w:rPr>
                <w:sz w:val="18"/>
                <w:szCs w:val="18"/>
              </w:rPr>
            </w:pPr>
            <w:r w:rsidRPr="00BB3F7E">
              <w:rPr>
                <w:sz w:val="18"/>
                <w:szCs w:val="18"/>
              </w:rPr>
              <w:t>O’Connor, Pat</w:t>
            </w:r>
          </w:p>
        </w:tc>
      </w:tr>
      <w:tr w:rsidR="005E052E" w:rsidRPr="00BB3F7E" w:rsidTr="000E6606">
        <w:tc>
          <w:tcPr>
            <w:tcW w:w="2574" w:type="dxa"/>
          </w:tcPr>
          <w:p w:rsidR="005E052E" w:rsidRPr="00BB3F7E" w:rsidRDefault="005E052E" w:rsidP="000E6606">
            <w:pPr>
              <w:rPr>
                <w:sz w:val="18"/>
                <w:szCs w:val="18"/>
              </w:rPr>
            </w:pPr>
          </w:p>
        </w:tc>
        <w:tc>
          <w:tcPr>
            <w:tcW w:w="2574" w:type="dxa"/>
          </w:tcPr>
          <w:p w:rsidR="005E052E" w:rsidRDefault="005E052E" w:rsidP="000E6606">
            <w:pPr>
              <w:rPr>
                <w:sz w:val="18"/>
                <w:szCs w:val="18"/>
              </w:rPr>
            </w:pPr>
          </w:p>
        </w:tc>
        <w:tc>
          <w:tcPr>
            <w:tcW w:w="2574" w:type="dxa"/>
          </w:tcPr>
          <w:p w:rsidR="005E052E" w:rsidRPr="00BB3F7E" w:rsidRDefault="005E052E" w:rsidP="000E6606">
            <w:pPr>
              <w:rPr>
                <w:sz w:val="18"/>
                <w:szCs w:val="18"/>
              </w:rPr>
            </w:pPr>
          </w:p>
        </w:tc>
        <w:tc>
          <w:tcPr>
            <w:tcW w:w="2574" w:type="dxa"/>
          </w:tcPr>
          <w:p w:rsidR="005E052E" w:rsidRPr="00BB3F7E" w:rsidRDefault="005E052E" w:rsidP="000E6606">
            <w:pPr>
              <w:rPr>
                <w:sz w:val="18"/>
                <w:szCs w:val="18"/>
              </w:rPr>
            </w:pPr>
          </w:p>
        </w:tc>
      </w:tr>
    </w:tbl>
    <w:p w:rsidR="00A267D9" w:rsidRPr="00BB3F7E" w:rsidRDefault="00A267D9" w:rsidP="00A267D9">
      <w:pPr>
        <w:rPr>
          <w:sz w:val="18"/>
          <w:szCs w:val="18"/>
        </w:rPr>
      </w:pPr>
      <w:r w:rsidRPr="00BB3F7E">
        <w:rPr>
          <w:sz w:val="18"/>
          <w:szCs w:val="18"/>
        </w:rPr>
        <w:t>GUESTS:</w:t>
      </w:r>
      <w:r>
        <w:rPr>
          <w:sz w:val="18"/>
          <w:szCs w:val="18"/>
        </w:rPr>
        <w:t xml:space="preserve">  None</w:t>
      </w:r>
    </w:p>
    <w:p w:rsidR="00661B95" w:rsidRDefault="00661B95" w:rsidP="00661B95"/>
    <w:tbl>
      <w:tblPr>
        <w:tblStyle w:val="TableGrid"/>
        <w:tblW w:w="0" w:type="auto"/>
        <w:tblLook w:val="04A0"/>
      </w:tblPr>
      <w:tblGrid>
        <w:gridCol w:w="2178"/>
        <w:gridCol w:w="5940"/>
        <w:gridCol w:w="2178"/>
      </w:tblGrid>
      <w:tr w:rsidR="00661B95" w:rsidTr="00661B95">
        <w:tc>
          <w:tcPr>
            <w:tcW w:w="2178" w:type="dxa"/>
          </w:tcPr>
          <w:p w:rsidR="00661B95" w:rsidRPr="00661B95" w:rsidRDefault="00661B95" w:rsidP="00661B95">
            <w:pPr>
              <w:rPr>
                <w:b/>
              </w:rPr>
            </w:pPr>
            <w:r>
              <w:rPr>
                <w:b/>
              </w:rPr>
              <w:t>AGENDA ITEM</w:t>
            </w:r>
          </w:p>
        </w:tc>
        <w:tc>
          <w:tcPr>
            <w:tcW w:w="5940" w:type="dxa"/>
          </w:tcPr>
          <w:p w:rsidR="00661B95" w:rsidRPr="00661B95" w:rsidRDefault="00661B95" w:rsidP="00661B95">
            <w:pPr>
              <w:jc w:val="center"/>
              <w:rPr>
                <w:b/>
              </w:rPr>
            </w:pPr>
            <w:r w:rsidRPr="00661B95">
              <w:rPr>
                <w:b/>
              </w:rPr>
              <w:t>DISCUSSION</w:t>
            </w:r>
          </w:p>
        </w:tc>
        <w:tc>
          <w:tcPr>
            <w:tcW w:w="2178" w:type="dxa"/>
          </w:tcPr>
          <w:p w:rsidR="00661B95" w:rsidRPr="00661B95" w:rsidRDefault="00661B95" w:rsidP="00661B95">
            <w:pPr>
              <w:jc w:val="center"/>
              <w:rPr>
                <w:b/>
              </w:rPr>
            </w:pPr>
            <w:r>
              <w:rPr>
                <w:b/>
              </w:rPr>
              <w:t>ACTION TAKEN</w:t>
            </w:r>
          </w:p>
        </w:tc>
      </w:tr>
      <w:tr w:rsidR="00661B95" w:rsidTr="00661B95">
        <w:tc>
          <w:tcPr>
            <w:tcW w:w="2178" w:type="dxa"/>
          </w:tcPr>
          <w:p w:rsidR="00661B95" w:rsidRDefault="004D78C6" w:rsidP="00661B95">
            <w:r>
              <w:t>Plans of Study to Admin. Affairs Office</w:t>
            </w:r>
          </w:p>
        </w:tc>
        <w:tc>
          <w:tcPr>
            <w:tcW w:w="5940" w:type="dxa"/>
          </w:tcPr>
          <w:p w:rsidR="00661B95" w:rsidRPr="00661B95" w:rsidRDefault="002F4AEF" w:rsidP="006A5A39">
            <w:r>
              <w:t>N</w:t>
            </w:r>
            <w:r w:rsidR="00FD4D8B">
              <w:t>ancy</w:t>
            </w:r>
            <w:r>
              <w:t xml:space="preserve"> reminded the group to send in their plans of study.</w:t>
            </w:r>
          </w:p>
        </w:tc>
        <w:tc>
          <w:tcPr>
            <w:tcW w:w="2178" w:type="dxa"/>
          </w:tcPr>
          <w:p w:rsidR="00661B95" w:rsidRDefault="002F4AEF" w:rsidP="00661B95">
            <w:r>
              <w:t xml:space="preserve">Luci will send out the list of plans that she current has to the group </w:t>
            </w:r>
          </w:p>
        </w:tc>
      </w:tr>
      <w:tr w:rsidR="00661B95" w:rsidTr="00661B95">
        <w:tc>
          <w:tcPr>
            <w:tcW w:w="2178" w:type="dxa"/>
          </w:tcPr>
          <w:p w:rsidR="00661B95" w:rsidRDefault="007C1435" w:rsidP="00661B95">
            <w:r>
              <w:t>Incomplete files from International Admissions</w:t>
            </w:r>
          </w:p>
        </w:tc>
        <w:tc>
          <w:tcPr>
            <w:tcW w:w="5940" w:type="dxa"/>
          </w:tcPr>
          <w:p w:rsidR="00661B95" w:rsidRDefault="00DC69E2" w:rsidP="00661B95">
            <w:r>
              <w:t>It was</w:t>
            </w:r>
            <w:r w:rsidR="00FD4D8B">
              <w:t xml:space="preserve"> </w:t>
            </w:r>
            <w:r w:rsidR="004F4513">
              <w:t>previously</w:t>
            </w:r>
            <w:r>
              <w:t xml:space="preserve"> interpreted that everyone was willing to accept international files even if they did not have GREs and TOEFL scores.  Nancy asked the programs to respond to her whether or not their programs are willing to accept students without a GRE and/or TOEFL scores.  She has </w:t>
            </w:r>
            <w:r w:rsidR="00995FEF">
              <w:t xml:space="preserve">already </w:t>
            </w:r>
            <w:r>
              <w:t xml:space="preserve">heard from Hospitality Mgt.  They </w:t>
            </w:r>
            <w:r w:rsidR="00995FEF">
              <w:t xml:space="preserve">have chosen </w:t>
            </w:r>
            <w:r>
              <w:t>not to evaluate files without these indicators. If the program is willing to do a conditional admit the student would then be required to take ESL courses and pass the English proficiency</w:t>
            </w:r>
            <w:r w:rsidR="004F4513">
              <w:t xml:space="preserve"> exam</w:t>
            </w:r>
            <w:r>
              <w:t xml:space="preserve">.  </w:t>
            </w:r>
            <w:r w:rsidR="00E2744F">
              <w:t xml:space="preserve">Programs are being requested to accept students in this manner </w:t>
            </w:r>
            <w:r w:rsidR="005401DA">
              <w:t xml:space="preserve">to accommodate </w:t>
            </w:r>
            <w:r w:rsidR="00E2744F">
              <w:t>countries</w:t>
            </w:r>
            <w:r w:rsidR="005401DA">
              <w:t xml:space="preserve"> that do not have access to the TOEFL &amp; GRE exams and</w:t>
            </w:r>
            <w:r w:rsidR="00E2744F">
              <w:t xml:space="preserve"> won’t allow the student to leave the country without a conditional admit. </w:t>
            </w:r>
            <w:r>
              <w:t xml:space="preserve"> Saudi Arabia for example, </w:t>
            </w:r>
            <w:r w:rsidR="005401DA">
              <w:t xml:space="preserve">won’t allow students to </w:t>
            </w:r>
            <w:r>
              <w:t xml:space="preserve">leave the country without a </w:t>
            </w:r>
            <w:r w:rsidR="00213A6F">
              <w:t>conditional</w:t>
            </w:r>
            <w:r>
              <w:t xml:space="preserve"> admit.  </w:t>
            </w:r>
            <w:r w:rsidR="00226152">
              <w:t>Programs</w:t>
            </w:r>
            <w:r>
              <w:t xml:space="preserve"> do not necessarily have to admit if</w:t>
            </w:r>
            <w:r w:rsidR="00740A64">
              <w:t>,</w:t>
            </w:r>
            <w:r>
              <w:t xml:space="preserve"> after ESL</w:t>
            </w:r>
            <w:r w:rsidR="00740A64">
              <w:t xml:space="preserve"> courses,</w:t>
            </w:r>
            <w:r>
              <w:t xml:space="preserve"> the</w:t>
            </w:r>
            <w:r w:rsidR="00226152">
              <w:t xml:space="preserve"> student</w:t>
            </w:r>
            <w:r>
              <w:t xml:space="preserve"> still do</w:t>
            </w:r>
            <w:r w:rsidR="00226152">
              <w:t>es</w:t>
            </w:r>
            <w:r>
              <w:t xml:space="preserve"> not meet the standards.  The student will sign an agreement through ISSS saying they realize that they may be here a year and still not be admitted</w:t>
            </w:r>
            <w:r w:rsidR="00226152">
              <w:t xml:space="preserve"> to the </w:t>
            </w:r>
            <w:r w:rsidR="00226152">
              <w:lastRenderedPageBreak/>
              <w:t>program</w:t>
            </w:r>
            <w:r>
              <w:t>.</w:t>
            </w:r>
          </w:p>
          <w:p w:rsidR="0084394B" w:rsidRDefault="0084394B" w:rsidP="00661B95"/>
          <w:p w:rsidR="0084394B" w:rsidRDefault="0084394B" w:rsidP="00661B95">
            <w:r>
              <w:t xml:space="preserve">There was discussion regarding </w:t>
            </w:r>
            <w:r w:rsidR="007F1DCF">
              <w:t xml:space="preserve">issues with </w:t>
            </w:r>
            <w:r>
              <w:t>current students and the position</w:t>
            </w:r>
            <w:r w:rsidR="005401DA">
              <w:t xml:space="preserve"> this puts</w:t>
            </w:r>
            <w:r>
              <w:t xml:space="preserve"> </w:t>
            </w:r>
            <w:r w:rsidR="006D4076">
              <w:t>programs</w:t>
            </w:r>
            <w:r>
              <w:t xml:space="preserve"> in and also the student.  </w:t>
            </w:r>
            <w:r w:rsidR="00CF1D6A">
              <w:t xml:space="preserve">There was discussion on how hard the students struggle if their scores are low.  </w:t>
            </w:r>
          </w:p>
          <w:p w:rsidR="00CF1D6A" w:rsidRDefault="00CF1D6A" w:rsidP="00661B95"/>
          <w:p w:rsidR="00CF1D6A" w:rsidRDefault="00CF1D6A" w:rsidP="00661B95">
            <w:r>
              <w:t>Nancy explained after the ESL course the</w:t>
            </w:r>
            <w:r w:rsidR="00375420">
              <w:t xml:space="preserve"> student would</w:t>
            </w:r>
            <w:r>
              <w:t xml:space="preserve"> take an English proficiency test and not the TOEFL.  The </w:t>
            </w:r>
            <w:r w:rsidR="00AF6023">
              <w:t>issue is</w:t>
            </w:r>
            <w:r>
              <w:t xml:space="preserve"> the programs are not getting the files back to evaluate the student. </w:t>
            </w:r>
          </w:p>
          <w:p w:rsidR="00CF1D6A" w:rsidRDefault="00CF1D6A" w:rsidP="00661B95"/>
          <w:p w:rsidR="00CF1D6A" w:rsidRDefault="00CF1D6A" w:rsidP="005401DA">
            <w:r>
              <w:t xml:space="preserve">Additional conversations need to be held with the international office regarding these issues. </w:t>
            </w:r>
            <w:r w:rsidR="00A00BD1">
              <w:t>The</w:t>
            </w:r>
            <w:r w:rsidR="005401DA">
              <w:t xml:space="preserve"> group </w:t>
            </w:r>
            <w:r w:rsidR="00C814AF">
              <w:t>wondered if</w:t>
            </w:r>
            <w:r w:rsidR="00A00BD1">
              <w:t xml:space="preserve"> the university has considered what these students need for support to make them successful.  </w:t>
            </w:r>
          </w:p>
        </w:tc>
        <w:tc>
          <w:tcPr>
            <w:tcW w:w="2178" w:type="dxa"/>
          </w:tcPr>
          <w:p w:rsidR="00661B95" w:rsidRDefault="00A00BD1" w:rsidP="00661B95">
            <w:r>
              <w:lastRenderedPageBreak/>
              <w:t>Nancy will bring this issue up at GSAAC and will have a further conversation with the International Office.</w:t>
            </w:r>
          </w:p>
        </w:tc>
      </w:tr>
      <w:tr w:rsidR="007C1435" w:rsidTr="00661B95">
        <w:tc>
          <w:tcPr>
            <w:tcW w:w="2178" w:type="dxa"/>
          </w:tcPr>
          <w:p w:rsidR="007C1435" w:rsidRDefault="007C1435" w:rsidP="00661B95">
            <w:r>
              <w:lastRenderedPageBreak/>
              <w:t>TOEFL scores</w:t>
            </w:r>
          </w:p>
        </w:tc>
        <w:tc>
          <w:tcPr>
            <w:tcW w:w="5940" w:type="dxa"/>
          </w:tcPr>
          <w:p w:rsidR="00183561" w:rsidRDefault="004476B5" w:rsidP="00661B95">
            <w:r>
              <w:t>Nancy shared</w:t>
            </w:r>
            <w:r w:rsidR="008F3FF6">
              <w:t xml:space="preserve"> the various TOEFL Minimums from the KSU website.  71 is the University Internet Based minimum which is equiv to 525-530 paper based.  </w:t>
            </w:r>
            <w:r w:rsidR="00BD25C6">
              <w:t>T</w:t>
            </w:r>
            <w:r w:rsidR="00A21CEB">
              <w:t xml:space="preserve">he </w:t>
            </w:r>
            <w:r w:rsidR="00BD25C6">
              <w:t xml:space="preserve">group was asked </w:t>
            </w:r>
            <w:r w:rsidR="00A21CEB">
              <w:t xml:space="preserve">to agree on a minimum score or a program minimum if different requirement needed.  </w:t>
            </w:r>
            <w:r w:rsidR="00BD25C6">
              <w:t>I</w:t>
            </w:r>
            <w:r w:rsidR="00183561">
              <w:t xml:space="preserve">t is the program’s purgative to admit students conditionally and require them to participate in the ESL courses to improve an area </w:t>
            </w:r>
            <w:r w:rsidR="00F00098">
              <w:t>where they may</w:t>
            </w:r>
            <w:r w:rsidR="00183561">
              <w:t xml:space="preserve"> be lacking.   </w:t>
            </w:r>
          </w:p>
          <w:p w:rsidR="008F3FF6" w:rsidRDefault="008F3FF6" w:rsidP="00661B95"/>
          <w:p w:rsidR="003D4970" w:rsidRDefault="00E42E30" w:rsidP="00661B95">
            <w:r>
              <w:t>T</w:t>
            </w:r>
            <w:r w:rsidR="003D4970">
              <w:t>he group</w:t>
            </w:r>
            <w:r>
              <w:t xml:space="preserve"> agreed that</w:t>
            </w:r>
            <w:r w:rsidR="003D4970">
              <w:t xml:space="preserve"> the minimum</w:t>
            </w:r>
            <w:r w:rsidR="00555C5D">
              <w:t xml:space="preserve"> score</w:t>
            </w:r>
            <w:r w:rsidR="00FC3BC6">
              <w:t xml:space="preserve"> be 100 internet / 600-603</w:t>
            </w:r>
            <w:r w:rsidR="003D4970">
              <w:t xml:space="preserve"> paper based with nothing under 20 in any one sub category.  </w:t>
            </w:r>
            <w:r w:rsidR="00166D65">
              <w:t>A</w:t>
            </w:r>
            <w:r w:rsidR="003D4970">
              <w:t xml:space="preserve"> conditional admit </w:t>
            </w:r>
            <w:r w:rsidR="00166D65">
              <w:t>w</w:t>
            </w:r>
            <w:r w:rsidR="003D4970">
              <w:t xml:space="preserve">ould be 80 internet based / with nothing under 20 in any one sub category.  </w:t>
            </w:r>
          </w:p>
          <w:p w:rsidR="003D4970" w:rsidRDefault="003D4970" w:rsidP="00661B95"/>
          <w:p w:rsidR="003D4970" w:rsidRDefault="003D4970" w:rsidP="00661B95">
            <w:r>
              <w:t xml:space="preserve">It was suggested that Brian DeHoff run a study to provide numbers of how many current students these numbers would affect.  </w:t>
            </w:r>
          </w:p>
          <w:p w:rsidR="001C377F" w:rsidRDefault="001C377F" w:rsidP="00661B95"/>
          <w:p w:rsidR="001C377F" w:rsidRDefault="001C377F" w:rsidP="00F46A4C">
            <w:r>
              <w:t xml:space="preserve">There was discussion </w:t>
            </w:r>
            <w:r w:rsidR="000F084A">
              <w:t>of publishing</w:t>
            </w:r>
            <w:r>
              <w:t xml:space="preserve"> only the minimum numbers and not the conditional minimum.  </w:t>
            </w:r>
          </w:p>
        </w:tc>
        <w:tc>
          <w:tcPr>
            <w:tcW w:w="2178" w:type="dxa"/>
          </w:tcPr>
          <w:p w:rsidR="007C1435" w:rsidRDefault="001F4541" w:rsidP="00661B95">
            <w:r>
              <w:t xml:space="preserve">Nancy will contact Brian </w:t>
            </w:r>
            <w:r w:rsidR="004476B5">
              <w:t xml:space="preserve">DeHoff </w:t>
            </w:r>
            <w:r>
              <w:t>regarding providing data on the current students.  She will provide the analysis to the committee</w:t>
            </w:r>
            <w:r w:rsidR="009634E6">
              <w:t xml:space="preserve"> members</w:t>
            </w:r>
            <w:r>
              <w:t xml:space="preserve">.  </w:t>
            </w:r>
          </w:p>
        </w:tc>
      </w:tr>
      <w:tr w:rsidR="00745E8F" w:rsidTr="00661B95">
        <w:tc>
          <w:tcPr>
            <w:tcW w:w="2178" w:type="dxa"/>
          </w:tcPr>
          <w:p w:rsidR="00745E8F" w:rsidRDefault="00745E8F" w:rsidP="00661B95">
            <w:r>
              <w:t>Changes to Catalog Description</w:t>
            </w:r>
          </w:p>
        </w:tc>
        <w:tc>
          <w:tcPr>
            <w:tcW w:w="5940" w:type="dxa"/>
          </w:tcPr>
          <w:p w:rsidR="00745E8F" w:rsidRDefault="00EE18DE" w:rsidP="00661B95">
            <w:r>
              <w:t>The group was advised</w:t>
            </w:r>
            <w:r w:rsidR="00745E8F">
              <w:t xml:space="preserve"> if there are changes made to the program admission requirements, these need to go through the curricular proces</w:t>
            </w:r>
            <w:r w:rsidR="00AE67D1">
              <w:t xml:space="preserve">s and they need to be published in the catalog.  </w:t>
            </w:r>
          </w:p>
        </w:tc>
        <w:tc>
          <w:tcPr>
            <w:tcW w:w="2178" w:type="dxa"/>
          </w:tcPr>
          <w:p w:rsidR="00745E8F" w:rsidRDefault="00745E8F" w:rsidP="00661B95"/>
        </w:tc>
      </w:tr>
      <w:tr w:rsidR="00661B95" w:rsidTr="00661B95">
        <w:tc>
          <w:tcPr>
            <w:tcW w:w="2178" w:type="dxa"/>
          </w:tcPr>
          <w:p w:rsidR="00661B95" w:rsidRDefault="0070272B" w:rsidP="00661B95">
            <w:r>
              <w:t>Style guides</w:t>
            </w:r>
            <w:r w:rsidR="007C1435">
              <w:t xml:space="preserve"> for dissertations</w:t>
            </w:r>
            <w:r w:rsidR="00DE6B38">
              <w:t xml:space="preserve"> Theses</w:t>
            </w:r>
          </w:p>
        </w:tc>
        <w:tc>
          <w:tcPr>
            <w:tcW w:w="5940" w:type="dxa"/>
          </w:tcPr>
          <w:p w:rsidR="00661B95" w:rsidRDefault="00FA6575" w:rsidP="00FC3BC6">
            <w:r>
              <w:t xml:space="preserve">Nancy asked the coordinators to share with the </w:t>
            </w:r>
            <w:r w:rsidR="00FC3BC6">
              <w:t>faculty</w:t>
            </w:r>
            <w:r>
              <w:t xml:space="preserve"> that it is their responsibility to review </w:t>
            </w:r>
            <w:r w:rsidR="0070272B">
              <w:t>theses and dississertations</w:t>
            </w:r>
            <w:r>
              <w:t xml:space="preserve"> and make sure they are appropriately formatted.  </w:t>
            </w:r>
            <w:r w:rsidR="00F917E1">
              <w:t>If the student is not using APA</w:t>
            </w:r>
            <w:r w:rsidR="00A13D1F">
              <w:t xml:space="preserve"> 6</w:t>
            </w:r>
            <w:r w:rsidR="00A13D1F" w:rsidRPr="00A13D1F">
              <w:rPr>
                <w:vertAlign w:val="superscript"/>
              </w:rPr>
              <w:t>th</w:t>
            </w:r>
            <w:r w:rsidR="00A13D1F">
              <w:t xml:space="preserve"> Edition,</w:t>
            </w:r>
            <w:r w:rsidR="00F917E1">
              <w:t xml:space="preserve"> the committee needs to scrutinize the document for appropriate formatting.  </w:t>
            </w:r>
          </w:p>
        </w:tc>
        <w:tc>
          <w:tcPr>
            <w:tcW w:w="2178" w:type="dxa"/>
          </w:tcPr>
          <w:p w:rsidR="00661B95" w:rsidRDefault="00661B95" w:rsidP="00661B95"/>
        </w:tc>
      </w:tr>
      <w:tr w:rsidR="007C1435" w:rsidTr="00661B95">
        <w:tc>
          <w:tcPr>
            <w:tcW w:w="2178" w:type="dxa"/>
          </w:tcPr>
          <w:p w:rsidR="007C1435" w:rsidRDefault="007C1435" w:rsidP="00661B95">
            <w:r>
              <w:t>Graduate Policies: Comps</w:t>
            </w:r>
          </w:p>
        </w:tc>
        <w:tc>
          <w:tcPr>
            <w:tcW w:w="5940" w:type="dxa"/>
          </w:tcPr>
          <w:p w:rsidR="007C1435" w:rsidRDefault="00121DFD" w:rsidP="00661B95">
            <w:r>
              <w:t>Candidacy exam committee structure reads:  2 interna</w:t>
            </w:r>
            <w:r w:rsidR="00FC3BC6">
              <w:t>l 1 external on the committee. Exercise Physiology</w:t>
            </w:r>
            <w:r w:rsidR="008E7818">
              <w:t xml:space="preserve"> would like to appeal this so that they do not need to have an external </w:t>
            </w:r>
            <w:r w:rsidR="008E7818">
              <w:lastRenderedPageBreak/>
              <w:t xml:space="preserve">member.  Their particular program is varied enough that an external member doesn’t make sense. </w:t>
            </w:r>
          </w:p>
          <w:p w:rsidR="00F703CD" w:rsidRDefault="00F703CD" w:rsidP="00661B95"/>
          <w:p w:rsidR="00F703CD" w:rsidRDefault="00F703CD" w:rsidP="00F703CD">
            <w:r>
              <w:t xml:space="preserve">The history of the external member was questioned.  It was explained the external member was </w:t>
            </w:r>
            <w:r w:rsidR="00576135">
              <w:t xml:space="preserve">added for quality control so </w:t>
            </w:r>
            <w:r w:rsidR="00A13D1F">
              <w:t xml:space="preserve">not only </w:t>
            </w:r>
            <w:r w:rsidR="00576135">
              <w:t>program members</w:t>
            </w:r>
            <w:r w:rsidR="00A13D1F">
              <w:t xml:space="preserve"> were</w:t>
            </w:r>
            <w:r w:rsidR="00576135">
              <w:t xml:space="preserve"> evaluating the comprehensive knowledge of the student. </w:t>
            </w:r>
          </w:p>
          <w:p w:rsidR="00576135" w:rsidRDefault="00576135" w:rsidP="00F703CD"/>
          <w:p w:rsidR="00576135" w:rsidRDefault="00576135" w:rsidP="00F703CD">
            <w:r>
              <w:t>There was discussion that at the comp phase this practice of the external member may have been outlived and is no longer necessarily needed because it is so field specific.</w:t>
            </w:r>
            <w:r w:rsidR="00352E37">
              <w:t xml:space="preserve">  This would be optional for each program.  This would take the comp committee down to two (2) persons.  </w:t>
            </w:r>
          </w:p>
          <w:p w:rsidR="00383A93" w:rsidRDefault="00383A93" w:rsidP="00F703CD"/>
          <w:p w:rsidR="00B24535" w:rsidRDefault="00352E37" w:rsidP="00F703CD">
            <w:r>
              <w:t xml:space="preserve"> John West moved that students have the option of having a minimum 2 person committee from the program or a 2 person plus a</w:t>
            </w:r>
            <w:r w:rsidR="00383A93">
              <w:t>n</w:t>
            </w:r>
            <w:r>
              <w:t xml:space="preserve"> external member.  </w:t>
            </w:r>
            <w:r w:rsidR="00383A93">
              <w:t>Motion seconded by Mark Kretovics</w:t>
            </w:r>
            <w:r>
              <w:t>.  Motion passed unanimously.</w:t>
            </w:r>
          </w:p>
          <w:p w:rsidR="00383A93" w:rsidRDefault="00383A93" w:rsidP="00F703CD"/>
          <w:p w:rsidR="00B24535" w:rsidRDefault="00B24535" w:rsidP="00F703CD">
            <w:r>
              <w:t xml:space="preserve">It was felt that the external member would continue to be required at the dissertation phase.  </w:t>
            </w:r>
          </w:p>
        </w:tc>
        <w:tc>
          <w:tcPr>
            <w:tcW w:w="2178" w:type="dxa"/>
          </w:tcPr>
          <w:p w:rsidR="007C1435" w:rsidRDefault="00352E37" w:rsidP="00661B95">
            <w:r>
              <w:lastRenderedPageBreak/>
              <w:t>Nancy Miller will ensure that the comp</w:t>
            </w:r>
            <w:r w:rsidR="00552A50">
              <w:t xml:space="preserve"> exam </w:t>
            </w:r>
            <w:r w:rsidR="00552A50">
              <w:lastRenderedPageBreak/>
              <w:t>committe</w:t>
            </w:r>
            <w:r w:rsidR="00FC3BC6">
              <w:t>e makeup for each program is defined</w:t>
            </w:r>
            <w:r w:rsidR="00552A50">
              <w:t>.</w:t>
            </w:r>
          </w:p>
        </w:tc>
      </w:tr>
      <w:tr w:rsidR="007C1435" w:rsidTr="00661B95">
        <w:tc>
          <w:tcPr>
            <w:tcW w:w="2178" w:type="dxa"/>
          </w:tcPr>
          <w:p w:rsidR="007C1435" w:rsidRDefault="007C1435" w:rsidP="00661B95">
            <w:r>
              <w:lastRenderedPageBreak/>
              <w:t xml:space="preserve">Plans for Next Year </w:t>
            </w:r>
          </w:p>
        </w:tc>
        <w:tc>
          <w:tcPr>
            <w:tcW w:w="5940" w:type="dxa"/>
          </w:tcPr>
          <w:p w:rsidR="007C1435" w:rsidRDefault="00A97287" w:rsidP="00661B95">
            <w:r>
              <w:t xml:space="preserve">Nancy asked for suggestions for issues for next year.  She shared that with the doctoral review committee she can see changes in the doctoral policy coming.  </w:t>
            </w:r>
            <w:r w:rsidR="00474B0A">
              <w:t>This</w:t>
            </w:r>
            <w:r>
              <w:t xml:space="preserve"> is a good time to think out of the box regarding their programs and the graduate program</w:t>
            </w:r>
            <w:r w:rsidR="00474B0A">
              <w:t xml:space="preserve"> as a whole</w:t>
            </w:r>
            <w:r>
              <w:t xml:space="preserve">.  </w:t>
            </w:r>
          </w:p>
          <w:p w:rsidR="00A97287" w:rsidRDefault="00A97287" w:rsidP="00661B95"/>
          <w:p w:rsidR="009C2610" w:rsidRDefault="00A97287" w:rsidP="009C2610">
            <w:r>
              <w:t>Janice Hutchison shared that she would like to see the committee look at the theses and more app</w:t>
            </w:r>
            <w:r w:rsidR="00FC3BC6">
              <w:t>lied theses and dissertations.</w:t>
            </w:r>
            <w:r w:rsidR="009C2610">
              <w:t xml:space="preserve">  </w:t>
            </w:r>
            <w:r w:rsidR="00E029C5">
              <w:t>C</w:t>
            </w:r>
            <w:r w:rsidR="009C2610">
              <w:t xml:space="preserve">urrent students </w:t>
            </w:r>
            <w:r w:rsidR="00FC3BC6">
              <w:t xml:space="preserve">seem to be unaware </w:t>
            </w:r>
            <w:r w:rsidR="009C2610">
              <w:t xml:space="preserve">of </w:t>
            </w:r>
            <w:r w:rsidR="00E029C5">
              <w:t>the meaning of</w:t>
            </w:r>
            <w:r w:rsidR="009C2610">
              <w:t xml:space="preserve"> scholarship.  </w:t>
            </w:r>
          </w:p>
          <w:p w:rsidR="008B1DBD" w:rsidRDefault="008B1DBD" w:rsidP="009C2610"/>
          <w:p w:rsidR="008B1DBD" w:rsidRDefault="008B1DBD" w:rsidP="009C2610">
            <w:r>
              <w:t>Nancy shared the discussion from the doc</w:t>
            </w:r>
            <w:r w:rsidR="000E6606">
              <w:t>toral</w:t>
            </w:r>
            <w:r>
              <w:t xml:space="preserve"> review committee regarding students working with a faculty member on a research project.</w:t>
            </w:r>
          </w:p>
          <w:p w:rsidR="0001063B" w:rsidRDefault="0001063B" w:rsidP="009C2610"/>
          <w:p w:rsidR="0001063B" w:rsidRDefault="0001063B" w:rsidP="009C2610">
            <w:r>
              <w:t>There was discussion on providing information to the adjunct faculty regarding grading.  Nancy shared that this is the responsibility of the Directors and should be dealt with at a school level.</w:t>
            </w:r>
          </w:p>
          <w:p w:rsidR="001B0738" w:rsidRDefault="001B0738" w:rsidP="009C2610"/>
          <w:p w:rsidR="001B0738" w:rsidRDefault="001B0738" w:rsidP="009C2610">
            <w:r>
              <w:t xml:space="preserve">It was asked if faculty could be educated on using the computer to review their files electronically.  There was discussion on the process and how this would be accomplished.  We will start the process with EXPH and SPED and then add additional programs as necessary.  </w:t>
            </w:r>
          </w:p>
          <w:p w:rsidR="00317C17" w:rsidRDefault="00317C17" w:rsidP="009C2610"/>
          <w:p w:rsidR="00937D1E" w:rsidRDefault="00317C17" w:rsidP="00C6432B">
            <w:r>
              <w:t xml:space="preserve">There was conversation on the doctoral review that is anticipated for next year and the numerous other reviews and accreditation processes that are being done. </w:t>
            </w:r>
            <w:r w:rsidR="00C433DE">
              <w:t xml:space="preserve"> Nancy shared that she is trying to make the Admin office more responsible for the accreditation processes.  </w:t>
            </w:r>
            <w:r w:rsidR="00CC2DE6">
              <w:t>N</w:t>
            </w:r>
            <w:r w:rsidR="00C433DE">
              <w:t xml:space="preserve">ot all programs take advantage of this.  </w:t>
            </w:r>
            <w:r w:rsidR="00CC2DE6">
              <w:t>T</w:t>
            </w:r>
            <w:r w:rsidR="00C433DE">
              <w:t xml:space="preserve">he Dean is looking to add a person, possibly part time, who </w:t>
            </w:r>
            <w:r w:rsidR="00FC3BC6">
              <w:t xml:space="preserve">will </w:t>
            </w:r>
            <w:r w:rsidR="00C433DE">
              <w:t xml:space="preserve">be responsible for assessment.  </w:t>
            </w:r>
            <w:r w:rsidR="0023695C">
              <w:t>There was much discussion on the various reviews and their necessity.</w:t>
            </w:r>
          </w:p>
        </w:tc>
        <w:tc>
          <w:tcPr>
            <w:tcW w:w="2178" w:type="dxa"/>
          </w:tcPr>
          <w:p w:rsidR="007C1435" w:rsidRDefault="000E6606" w:rsidP="00661B95">
            <w:r>
              <w:t>Setup training for faculty for reviewing files electronically.</w:t>
            </w:r>
          </w:p>
        </w:tc>
      </w:tr>
    </w:tbl>
    <w:p w:rsidR="00661B95" w:rsidRDefault="00661B95" w:rsidP="00661B95"/>
    <w:p w:rsidR="00661B95" w:rsidRDefault="00661B95" w:rsidP="00661B95">
      <w:r>
        <w:t>The meeting was adjourned at</w:t>
      </w:r>
      <w:r w:rsidR="00937D1E">
        <w:t xml:space="preserve"> 11:17</w:t>
      </w:r>
      <w:r w:rsidR="00093DF4">
        <w:t xml:space="preserve"> am</w:t>
      </w:r>
    </w:p>
    <w:p w:rsidR="00661B95" w:rsidRDefault="00661B95" w:rsidP="00661B95">
      <w:r>
        <w:t>Next meeting:</w:t>
      </w:r>
      <w:r w:rsidR="00CC2DE6">
        <w:t xml:space="preserve">  This was the final meeting of the year</w:t>
      </w:r>
    </w:p>
    <w:p w:rsidR="00661B95" w:rsidRDefault="00661B95" w:rsidP="00661B95"/>
    <w:p w:rsidR="00661B95" w:rsidRDefault="00661B95" w:rsidP="00661B95">
      <w:r>
        <w:t>Respectfully submitted</w:t>
      </w:r>
    </w:p>
    <w:p w:rsidR="00661B95" w:rsidRPr="00661B95" w:rsidRDefault="00661B95" w:rsidP="00661B95">
      <w:r>
        <w:t>Luci Wymer, Recorder</w:t>
      </w:r>
    </w:p>
    <w:sectPr w:rsidR="00661B95" w:rsidRPr="00661B95"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B95"/>
    <w:rsid w:val="0001063B"/>
    <w:rsid w:val="000734DC"/>
    <w:rsid w:val="00093DF4"/>
    <w:rsid w:val="000E6606"/>
    <w:rsid w:val="000F084A"/>
    <w:rsid w:val="00121DFD"/>
    <w:rsid w:val="00166D65"/>
    <w:rsid w:val="00183561"/>
    <w:rsid w:val="001B0738"/>
    <w:rsid w:val="001C377F"/>
    <w:rsid w:val="001C456A"/>
    <w:rsid w:val="001F4541"/>
    <w:rsid w:val="00213A6F"/>
    <w:rsid w:val="00226152"/>
    <w:rsid w:val="0023695C"/>
    <w:rsid w:val="002451BA"/>
    <w:rsid w:val="002A15FC"/>
    <w:rsid w:val="002F4AEF"/>
    <w:rsid w:val="003078BA"/>
    <w:rsid w:val="00317C17"/>
    <w:rsid w:val="00352E37"/>
    <w:rsid w:val="00375420"/>
    <w:rsid w:val="00383A93"/>
    <w:rsid w:val="003D4970"/>
    <w:rsid w:val="004035E6"/>
    <w:rsid w:val="004476B5"/>
    <w:rsid w:val="00474B0A"/>
    <w:rsid w:val="004778F2"/>
    <w:rsid w:val="004D78C6"/>
    <w:rsid w:val="004F4513"/>
    <w:rsid w:val="005401DA"/>
    <w:rsid w:val="00552A50"/>
    <w:rsid w:val="00555C5D"/>
    <w:rsid w:val="00576135"/>
    <w:rsid w:val="0057672F"/>
    <w:rsid w:val="0059197D"/>
    <w:rsid w:val="005E052E"/>
    <w:rsid w:val="00661B95"/>
    <w:rsid w:val="00661B9D"/>
    <w:rsid w:val="006655C2"/>
    <w:rsid w:val="006A5A39"/>
    <w:rsid w:val="006D4076"/>
    <w:rsid w:val="0070272B"/>
    <w:rsid w:val="007057C5"/>
    <w:rsid w:val="00740A64"/>
    <w:rsid w:val="00745E8F"/>
    <w:rsid w:val="00762A58"/>
    <w:rsid w:val="007C1435"/>
    <w:rsid w:val="007F1DCF"/>
    <w:rsid w:val="00803897"/>
    <w:rsid w:val="00805648"/>
    <w:rsid w:val="0084394B"/>
    <w:rsid w:val="008B1DBD"/>
    <w:rsid w:val="008E7818"/>
    <w:rsid w:val="008F3FF6"/>
    <w:rsid w:val="00937D1E"/>
    <w:rsid w:val="00946DD8"/>
    <w:rsid w:val="009634E6"/>
    <w:rsid w:val="00995FEF"/>
    <w:rsid w:val="009C2610"/>
    <w:rsid w:val="00A00BD1"/>
    <w:rsid w:val="00A13D1F"/>
    <w:rsid w:val="00A21CEB"/>
    <w:rsid w:val="00A267D9"/>
    <w:rsid w:val="00A97287"/>
    <w:rsid w:val="00AE67D1"/>
    <w:rsid w:val="00AF6023"/>
    <w:rsid w:val="00B10622"/>
    <w:rsid w:val="00B223A2"/>
    <w:rsid w:val="00B24535"/>
    <w:rsid w:val="00BD25C6"/>
    <w:rsid w:val="00C20E67"/>
    <w:rsid w:val="00C433DE"/>
    <w:rsid w:val="00C6432B"/>
    <w:rsid w:val="00C814AF"/>
    <w:rsid w:val="00C84FAC"/>
    <w:rsid w:val="00CB2728"/>
    <w:rsid w:val="00CC00F5"/>
    <w:rsid w:val="00CC2DE6"/>
    <w:rsid w:val="00CF1D6A"/>
    <w:rsid w:val="00D22412"/>
    <w:rsid w:val="00D352CF"/>
    <w:rsid w:val="00DC69E2"/>
    <w:rsid w:val="00DE6B38"/>
    <w:rsid w:val="00E029C5"/>
    <w:rsid w:val="00E2744F"/>
    <w:rsid w:val="00E42E30"/>
    <w:rsid w:val="00EE18DE"/>
    <w:rsid w:val="00F00098"/>
    <w:rsid w:val="00F46A4C"/>
    <w:rsid w:val="00F703CD"/>
    <w:rsid w:val="00F917E1"/>
    <w:rsid w:val="00F96EDE"/>
    <w:rsid w:val="00FA073D"/>
    <w:rsid w:val="00FA6575"/>
    <w:rsid w:val="00FC3BC6"/>
    <w:rsid w:val="00FD4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6C53-6993-4B7D-B0AB-FFF12BC0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dcterms:created xsi:type="dcterms:W3CDTF">2011-05-13T20:45:00Z</dcterms:created>
  <dcterms:modified xsi:type="dcterms:W3CDTF">2011-05-13T20:45:00Z</dcterms:modified>
</cp:coreProperties>
</file>