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604489" w:rsidRDefault="007057C5" w:rsidP="00661B95">
      <w:pPr>
        <w:jc w:val="center"/>
        <w:rPr>
          <w:b/>
          <w:sz w:val="22"/>
        </w:rPr>
      </w:pPr>
      <w:r w:rsidRPr="00604489">
        <w:rPr>
          <w:b/>
          <w:sz w:val="22"/>
        </w:rPr>
        <w:t>GRADUATE PROGRAM COORDINATORS MEETING</w:t>
      </w:r>
    </w:p>
    <w:p w:rsidR="00661B95" w:rsidRPr="00604489" w:rsidRDefault="00B3466A" w:rsidP="00661B95">
      <w:pPr>
        <w:jc w:val="center"/>
        <w:rPr>
          <w:b/>
          <w:sz w:val="22"/>
        </w:rPr>
      </w:pPr>
      <w:r>
        <w:rPr>
          <w:b/>
          <w:sz w:val="22"/>
        </w:rPr>
        <w:t>November 1</w:t>
      </w:r>
      <w:r w:rsidR="00604489" w:rsidRPr="00604489">
        <w:rPr>
          <w:b/>
          <w:sz w:val="22"/>
        </w:rPr>
        <w:t>2, 2010</w:t>
      </w:r>
    </w:p>
    <w:p w:rsidR="00661B95" w:rsidRDefault="00661B95" w:rsidP="00661B95">
      <w:pPr>
        <w:jc w:val="center"/>
      </w:pPr>
    </w:p>
    <w:p w:rsidR="00661B95" w:rsidRDefault="00661B95" w:rsidP="00661B95">
      <w:r>
        <w:t>MEMBERS ATTENDING:</w:t>
      </w:r>
    </w:p>
    <w:tbl>
      <w:tblPr>
        <w:tblStyle w:val="TableGrid"/>
        <w:tblW w:w="0" w:type="auto"/>
        <w:tblLook w:val="04A0"/>
      </w:tblPr>
      <w:tblGrid>
        <w:gridCol w:w="2574"/>
        <w:gridCol w:w="2574"/>
        <w:gridCol w:w="2574"/>
        <w:gridCol w:w="2574"/>
      </w:tblGrid>
      <w:tr w:rsidR="00E30577" w:rsidRPr="00E30577" w:rsidTr="00E30577">
        <w:tc>
          <w:tcPr>
            <w:tcW w:w="2574" w:type="dxa"/>
          </w:tcPr>
          <w:p w:rsidR="00E30577" w:rsidRPr="00E30577" w:rsidRDefault="00E30577" w:rsidP="00E30577">
            <w:pPr>
              <w:jc w:val="center"/>
              <w:rPr>
                <w:b/>
                <w:sz w:val="18"/>
                <w:szCs w:val="18"/>
              </w:rPr>
            </w:pPr>
            <w:r w:rsidRPr="00E30577">
              <w:rPr>
                <w:b/>
                <w:sz w:val="18"/>
                <w:szCs w:val="18"/>
              </w:rPr>
              <w:t>FLA</w:t>
            </w:r>
          </w:p>
        </w:tc>
        <w:tc>
          <w:tcPr>
            <w:tcW w:w="2574" w:type="dxa"/>
          </w:tcPr>
          <w:p w:rsidR="00E30577" w:rsidRPr="00E30577" w:rsidRDefault="00E30577" w:rsidP="00E30577">
            <w:pPr>
              <w:jc w:val="center"/>
              <w:rPr>
                <w:b/>
                <w:sz w:val="18"/>
                <w:szCs w:val="18"/>
              </w:rPr>
            </w:pPr>
            <w:r w:rsidRPr="00E30577">
              <w:rPr>
                <w:b/>
                <w:sz w:val="18"/>
                <w:szCs w:val="18"/>
              </w:rPr>
              <w:t>HS</w:t>
            </w:r>
          </w:p>
        </w:tc>
        <w:tc>
          <w:tcPr>
            <w:tcW w:w="2574" w:type="dxa"/>
          </w:tcPr>
          <w:p w:rsidR="00E30577" w:rsidRPr="00E30577" w:rsidRDefault="00E30577" w:rsidP="00E30577">
            <w:pPr>
              <w:jc w:val="center"/>
              <w:rPr>
                <w:b/>
                <w:sz w:val="18"/>
                <w:szCs w:val="18"/>
              </w:rPr>
            </w:pPr>
            <w:r w:rsidRPr="00E30577">
              <w:rPr>
                <w:b/>
                <w:sz w:val="18"/>
                <w:szCs w:val="18"/>
              </w:rPr>
              <w:t>LDES</w:t>
            </w:r>
          </w:p>
        </w:tc>
        <w:tc>
          <w:tcPr>
            <w:tcW w:w="2574" w:type="dxa"/>
          </w:tcPr>
          <w:p w:rsidR="00E30577" w:rsidRPr="00E30577" w:rsidRDefault="00E30577" w:rsidP="00E30577">
            <w:pPr>
              <w:jc w:val="center"/>
              <w:rPr>
                <w:b/>
                <w:sz w:val="18"/>
                <w:szCs w:val="18"/>
              </w:rPr>
            </w:pPr>
            <w:r w:rsidRPr="00E30577">
              <w:rPr>
                <w:b/>
                <w:sz w:val="18"/>
                <w:szCs w:val="18"/>
              </w:rPr>
              <w:t>TL</w:t>
            </w:r>
            <w:r w:rsidR="008873E6">
              <w:rPr>
                <w:b/>
                <w:sz w:val="18"/>
                <w:szCs w:val="18"/>
              </w:rPr>
              <w:t>C</w:t>
            </w:r>
          </w:p>
        </w:tc>
      </w:tr>
      <w:tr w:rsidR="006406E2" w:rsidRPr="00E30577" w:rsidTr="006406E2">
        <w:trPr>
          <w:trHeight w:val="233"/>
        </w:trPr>
        <w:tc>
          <w:tcPr>
            <w:tcW w:w="2574" w:type="dxa"/>
            <w:shd w:val="clear" w:color="auto" w:fill="auto"/>
          </w:tcPr>
          <w:p w:rsidR="006406E2" w:rsidRPr="00E30577" w:rsidRDefault="006406E2" w:rsidP="00661B95">
            <w:pPr>
              <w:rPr>
                <w:sz w:val="18"/>
                <w:szCs w:val="18"/>
              </w:rPr>
            </w:pPr>
            <w:r>
              <w:rPr>
                <w:sz w:val="18"/>
                <w:szCs w:val="18"/>
              </w:rPr>
              <w:t>Hackney, Cathy</w:t>
            </w:r>
          </w:p>
        </w:tc>
        <w:tc>
          <w:tcPr>
            <w:tcW w:w="2574" w:type="dxa"/>
            <w:shd w:val="clear" w:color="auto" w:fill="auto"/>
          </w:tcPr>
          <w:p w:rsidR="006406E2" w:rsidRPr="00E30577" w:rsidRDefault="006406E2" w:rsidP="008873E6">
            <w:pPr>
              <w:rPr>
                <w:sz w:val="18"/>
                <w:szCs w:val="18"/>
              </w:rPr>
            </w:pPr>
            <w:r>
              <w:rPr>
                <w:sz w:val="18"/>
                <w:szCs w:val="18"/>
              </w:rPr>
              <w:t>Barkley, Jacob</w:t>
            </w:r>
          </w:p>
        </w:tc>
        <w:tc>
          <w:tcPr>
            <w:tcW w:w="2574" w:type="dxa"/>
            <w:shd w:val="clear" w:color="auto" w:fill="auto"/>
          </w:tcPr>
          <w:p w:rsidR="006406E2" w:rsidRDefault="006406E2" w:rsidP="006406E2">
            <w:pPr>
              <w:rPr>
                <w:sz w:val="18"/>
                <w:szCs w:val="18"/>
              </w:rPr>
            </w:pPr>
            <w:r>
              <w:rPr>
                <w:sz w:val="18"/>
                <w:szCs w:val="18"/>
              </w:rPr>
              <w:t>Cowan, Richard</w:t>
            </w:r>
          </w:p>
        </w:tc>
        <w:tc>
          <w:tcPr>
            <w:tcW w:w="2574" w:type="dxa"/>
            <w:shd w:val="clear" w:color="auto" w:fill="auto"/>
          </w:tcPr>
          <w:p w:rsidR="006406E2" w:rsidRPr="00E30577" w:rsidRDefault="006406E2" w:rsidP="006406E2">
            <w:pPr>
              <w:rPr>
                <w:sz w:val="18"/>
                <w:szCs w:val="18"/>
              </w:rPr>
            </w:pPr>
            <w:r>
              <w:rPr>
                <w:sz w:val="18"/>
                <w:szCs w:val="18"/>
              </w:rPr>
              <w:t>Hutchison, Janice</w:t>
            </w:r>
          </w:p>
        </w:tc>
      </w:tr>
      <w:tr w:rsidR="006406E2" w:rsidRPr="00E30577" w:rsidTr="006406E2">
        <w:tc>
          <w:tcPr>
            <w:tcW w:w="2574" w:type="dxa"/>
            <w:shd w:val="clear" w:color="auto" w:fill="auto"/>
          </w:tcPr>
          <w:p w:rsidR="006406E2" w:rsidRDefault="006406E2" w:rsidP="006406E2">
            <w:pPr>
              <w:rPr>
                <w:sz w:val="18"/>
                <w:szCs w:val="18"/>
              </w:rPr>
            </w:pPr>
            <w:r>
              <w:rPr>
                <w:sz w:val="18"/>
                <w:szCs w:val="18"/>
              </w:rPr>
              <w:t>Kretovics, Mark</w:t>
            </w:r>
          </w:p>
        </w:tc>
        <w:tc>
          <w:tcPr>
            <w:tcW w:w="2574" w:type="dxa"/>
            <w:shd w:val="clear" w:color="auto" w:fill="auto"/>
          </w:tcPr>
          <w:p w:rsidR="006406E2" w:rsidRPr="00E30577" w:rsidRDefault="006406E2" w:rsidP="006406E2">
            <w:pPr>
              <w:rPr>
                <w:sz w:val="18"/>
                <w:szCs w:val="18"/>
              </w:rPr>
            </w:pPr>
            <w:r>
              <w:rPr>
                <w:sz w:val="18"/>
                <w:szCs w:val="18"/>
              </w:rPr>
              <w:t>Ding, Kele</w:t>
            </w:r>
          </w:p>
        </w:tc>
        <w:tc>
          <w:tcPr>
            <w:tcW w:w="2574" w:type="dxa"/>
            <w:shd w:val="clear" w:color="auto" w:fill="auto"/>
          </w:tcPr>
          <w:p w:rsidR="006406E2" w:rsidRPr="00E30577" w:rsidRDefault="006406E2" w:rsidP="006406E2">
            <w:pPr>
              <w:rPr>
                <w:sz w:val="18"/>
                <w:szCs w:val="18"/>
              </w:rPr>
            </w:pPr>
            <w:r>
              <w:rPr>
                <w:sz w:val="18"/>
                <w:szCs w:val="18"/>
              </w:rPr>
              <w:t>McGlothlin, Jason</w:t>
            </w:r>
          </w:p>
        </w:tc>
        <w:tc>
          <w:tcPr>
            <w:tcW w:w="2574" w:type="dxa"/>
            <w:shd w:val="clear" w:color="auto" w:fill="auto"/>
          </w:tcPr>
          <w:p w:rsidR="006406E2" w:rsidRPr="00E30577" w:rsidRDefault="006406E2" w:rsidP="006406E2">
            <w:pPr>
              <w:rPr>
                <w:sz w:val="18"/>
                <w:szCs w:val="18"/>
              </w:rPr>
            </w:pPr>
            <w:r>
              <w:rPr>
                <w:sz w:val="18"/>
                <w:szCs w:val="18"/>
              </w:rPr>
              <w:t>Lash, Marty</w:t>
            </w:r>
          </w:p>
        </w:tc>
      </w:tr>
      <w:tr w:rsidR="006406E2" w:rsidRPr="00E30577" w:rsidTr="006406E2">
        <w:tc>
          <w:tcPr>
            <w:tcW w:w="2574" w:type="dxa"/>
            <w:shd w:val="clear" w:color="auto" w:fill="auto"/>
          </w:tcPr>
          <w:p w:rsidR="006406E2" w:rsidRPr="00E30577" w:rsidRDefault="006406E2" w:rsidP="006406E2">
            <w:pPr>
              <w:rPr>
                <w:sz w:val="18"/>
                <w:szCs w:val="18"/>
              </w:rPr>
            </w:pPr>
            <w:r>
              <w:rPr>
                <w:sz w:val="18"/>
                <w:szCs w:val="18"/>
              </w:rPr>
              <w:t>Lyberger, Mark</w:t>
            </w:r>
          </w:p>
        </w:tc>
        <w:tc>
          <w:tcPr>
            <w:tcW w:w="2574" w:type="dxa"/>
            <w:shd w:val="clear" w:color="auto" w:fill="auto"/>
          </w:tcPr>
          <w:p w:rsidR="006406E2" w:rsidRPr="00E30577" w:rsidRDefault="006406E2" w:rsidP="006406E2">
            <w:pPr>
              <w:rPr>
                <w:sz w:val="18"/>
                <w:szCs w:val="18"/>
              </w:rPr>
            </w:pPr>
            <w:r>
              <w:rPr>
                <w:sz w:val="18"/>
                <w:szCs w:val="18"/>
              </w:rPr>
              <w:t>Gordon, Karen</w:t>
            </w:r>
          </w:p>
        </w:tc>
        <w:tc>
          <w:tcPr>
            <w:tcW w:w="2574" w:type="dxa"/>
            <w:shd w:val="clear" w:color="auto" w:fill="auto"/>
          </w:tcPr>
          <w:p w:rsidR="006406E2" w:rsidRPr="00E30577" w:rsidRDefault="006406E2" w:rsidP="006406E2">
            <w:pPr>
              <w:rPr>
                <w:sz w:val="18"/>
                <w:szCs w:val="18"/>
              </w:rPr>
            </w:pPr>
            <w:r>
              <w:rPr>
                <w:sz w:val="18"/>
                <w:szCs w:val="18"/>
              </w:rPr>
              <w:t>Richardson, Rhonda</w:t>
            </w:r>
          </w:p>
        </w:tc>
        <w:tc>
          <w:tcPr>
            <w:tcW w:w="2574" w:type="dxa"/>
            <w:shd w:val="clear" w:color="auto" w:fill="auto"/>
          </w:tcPr>
          <w:p w:rsidR="006406E2" w:rsidRPr="00E30577" w:rsidRDefault="006406E2" w:rsidP="00661B95">
            <w:pPr>
              <w:rPr>
                <w:sz w:val="18"/>
                <w:szCs w:val="18"/>
              </w:rPr>
            </w:pPr>
          </w:p>
        </w:tc>
      </w:tr>
      <w:tr w:rsidR="006406E2" w:rsidRPr="00E30577" w:rsidTr="006406E2">
        <w:tc>
          <w:tcPr>
            <w:tcW w:w="2574" w:type="dxa"/>
            <w:shd w:val="clear" w:color="auto" w:fill="auto"/>
          </w:tcPr>
          <w:p w:rsidR="006406E2" w:rsidRPr="00E30577" w:rsidRDefault="006406E2" w:rsidP="006406E2">
            <w:pPr>
              <w:rPr>
                <w:sz w:val="18"/>
                <w:szCs w:val="18"/>
              </w:rPr>
            </w:pPr>
            <w:r>
              <w:rPr>
                <w:sz w:val="18"/>
                <w:szCs w:val="18"/>
              </w:rPr>
              <w:t>McClelland, Averil</w:t>
            </w:r>
          </w:p>
        </w:tc>
        <w:tc>
          <w:tcPr>
            <w:tcW w:w="2574" w:type="dxa"/>
            <w:shd w:val="clear" w:color="auto" w:fill="auto"/>
          </w:tcPr>
          <w:p w:rsidR="006406E2" w:rsidRPr="00E30577" w:rsidRDefault="006406E2" w:rsidP="006406E2">
            <w:pPr>
              <w:rPr>
                <w:sz w:val="18"/>
                <w:szCs w:val="18"/>
              </w:rPr>
            </w:pPr>
          </w:p>
        </w:tc>
        <w:tc>
          <w:tcPr>
            <w:tcW w:w="2574" w:type="dxa"/>
            <w:shd w:val="clear" w:color="auto" w:fill="auto"/>
          </w:tcPr>
          <w:p w:rsidR="006406E2" w:rsidRDefault="006406E2" w:rsidP="006406E2">
            <w:pPr>
              <w:rPr>
                <w:sz w:val="18"/>
                <w:szCs w:val="18"/>
              </w:rPr>
            </w:pPr>
            <w:r>
              <w:rPr>
                <w:sz w:val="18"/>
                <w:szCs w:val="18"/>
              </w:rPr>
              <w:t>Tankersley, Melody</w:t>
            </w:r>
          </w:p>
        </w:tc>
        <w:tc>
          <w:tcPr>
            <w:tcW w:w="2574" w:type="dxa"/>
            <w:shd w:val="clear" w:color="auto" w:fill="auto"/>
          </w:tcPr>
          <w:p w:rsidR="006406E2" w:rsidRPr="00E30577" w:rsidRDefault="006406E2" w:rsidP="00661B95">
            <w:pPr>
              <w:rPr>
                <w:sz w:val="18"/>
                <w:szCs w:val="18"/>
              </w:rPr>
            </w:pPr>
          </w:p>
        </w:tc>
      </w:tr>
      <w:tr w:rsidR="006406E2" w:rsidRPr="00E30577" w:rsidTr="006406E2">
        <w:tc>
          <w:tcPr>
            <w:tcW w:w="2574" w:type="dxa"/>
            <w:shd w:val="clear" w:color="auto" w:fill="auto"/>
          </w:tcPr>
          <w:p w:rsidR="006406E2" w:rsidRDefault="006406E2" w:rsidP="006406E2">
            <w:pPr>
              <w:rPr>
                <w:sz w:val="18"/>
                <w:szCs w:val="18"/>
              </w:rPr>
            </w:pPr>
            <w:r>
              <w:rPr>
                <w:sz w:val="18"/>
                <w:szCs w:val="18"/>
              </w:rPr>
              <w:t>Niesz, Tricia</w:t>
            </w:r>
          </w:p>
        </w:tc>
        <w:tc>
          <w:tcPr>
            <w:tcW w:w="2574" w:type="dxa"/>
            <w:shd w:val="clear" w:color="auto" w:fill="auto"/>
          </w:tcPr>
          <w:p w:rsidR="006406E2" w:rsidRPr="00E30577" w:rsidRDefault="006406E2" w:rsidP="006406E2">
            <w:pPr>
              <w:rPr>
                <w:sz w:val="18"/>
                <w:szCs w:val="18"/>
              </w:rPr>
            </w:pPr>
          </w:p>
        </w:tc>
        <w:tc>
          <w:tcPr>
            <w:tcW w:w="2574" w:type="dxa"/>
            <w:shd w:val="clear" w:color="auto" w:fill="auto"/>
          </w:tcPr>
          <w:p w:rsidR="006406E2" w:rsidRPr="00E30577" w:rsidRDefault="006406E2" w:rsidP="006406E2">
            <w:pPr>
              <w:rPr>
                <w:sz w:val="18"/>
                <w:szCs w:val="18"/>
              </w:rPr>
            </w:pPr>
            <w:r>
              <w:rPr>
                <w:sz w:val="18"/>
                <w:szCs w:val="18"/>
              </w:rPr>
              <w:t>Tiene, Drew</w:t>
            </w:r>
          </w:p>
        </w:tc>
        <w:tc>
          <w:tcPr>
            <w:tcW w:w="2574" w:type="dxa"/>
            <w:shd w:val="clear" w:color="auto" w:fill="auto"/>
          </w:tcPr>
          <w:p w:rsidR="006406E2" w:rsidRPr="00E30577" w:rsidRDefault="006406E2" w:rsidP="00661B95">
            <w:pPr>
              <w:rPr>
                <w:sz w:val="18"/>
                <w:szCs w:val="18"/>
              </w:rPr>
            </w:pPr>
          </w:p>
        </w:tc>
      </w:tr>
      <w:tr w:rsidR="006406E2" w:rsidRPr="00E30577" w:rsidTr="006406E2">
        <w:tc>
          <w:tcPr>
            <w:tcW w:w="2574" w:type="dxa"/>
            <w:shd w:val="clear" w:color="auto" w:fill="auto"/>
          </w:tcPr>
          <w:p w:rsidR="006406E2" w:rsidRDefault="006406E2" w:rsidP="006406E2">
            <w:pPr>
              <w:rPr>
                <w:sz w:val="18"/>
                <w:szCs w:val="18"/>
              </w:rPr>
            </w:pPr>
            <w:r>
              <w:rPr>
                <w:sz w:val="18"/>
                <w:szCs w:val="18"/>
              </w:rPr>
              <w:t>Scheule, Barb</w:t>
            </w:r>
          </w:p>
        </w:tc>
        <w:tc>
          <w:tcPr>
            <w:tcW w:w="2574" w:type="dxa"/>
            <w:shd w:val="clear" w:color="auto" w:fill="auto"/>
          </w:tcPr>
          <w:p w:rsidR="006406E2" w:rsidRDefault="006406E2" w:rsidP="006406E2">
            <w:pPr>
              <w:rPr>
                <w:sz w:val="18"/>
                <w:szCs w:val="18"/>
              </w:rPr>
            </w:pPr>
          </w:p>
        </w:tc>
        <w:tc>
          <w:tcPr>
            <w:tcW w:w="2574" w:type="dxa"/>
            <w:shd w:val="clear" w:color="auto" w:fill="auto"/>
          </w:tcPr>
          <w:p w:rsidR="006406E2" w:rsidRDefault="006406E2" w:rsidP="006406E2">
            <w:pPr>
              <w:rPr>
                <w:sz w:val="18"/>
                <w:szCs w:val="18"/>
              </w:rPr>
            </w:pPr>
            <w:r>
              <w:rPr>
                <w:sz w:val="18"/>
                <w:szCs w:val="18"/>
              </w:rPr>
              <w:t>West, John</w:t>
            </w:r>
          </w:p>
        </w:tc>
        <w:tc>
          <w:tcPr>
            <w:tcW w:w="2574" w:type="dxa"/>
            <w:shd w:val="clear" w:color="auto" w:fill="auto"/>
          </w:tcPr>
          <w:p w:rsidR="006406E2" w:rsidRPr="00E30577" w:rsidRDefault="006406E2" w:rsidP="00661B95">
            <w:pPr>
              <w:rPr>
                <w:sz w:val="18"/>
                <w:szCs w:val="18"/>
              </w:rPr>
            </w:pPr>
          </w:p>
        </w:tc>
      </w:tr>
    </w:tbl>
    <w:p w:rsidR="00E8484F" w:rsidRPr="00E30577" w:rsidRDefault="00E8484F" w:rsidP="00661B95">
      <w:pPr>
        <w:rPr>
          <w:sz w:val="18"/>
          <w:szCs w:val="18"/>
        </w:rPr>
      </w:pPr>
      <w:r>
        <w:rPr>
          <w:sz w:val="18"/>
          <w:szCs w:val="18"/>
        </w:rPr>
        <w:t xml:space="preserve">Nancy Barbour, Admin. Affairs; Nancy Miller, OGSS; </w:t>
      </w:r>
    </w:p>
    <w:p w:rsidR="00E8484F" w:rsidRDefault="00E8484F" w:rsidP="00661B95"/>
    <w:p w:rsidR="00661B95" w:rsidRDefault="00661B95" w:rsidP="00661B95">
      <w:r>
        <w:t>MEMBERS ABSENT:</w:t>
      </w:r>
    </w:p>
    <w:tbl>
      <w:tblPr>
        <w:tblStyle w:val="TableGrid"/>
        <w:tblW w:w="0" w:type="auto"/>
        <w:tblLook w:val="04A0"/>
      </w:tblPr>
      <w:tblGrid>
        <w:gridCol w:w="2574"/>
        <w:gridCol w:w="2574"/>
        <w:gridCol w:w="2574"/>
        <w:gridCol w:w="2574"/>
      </w:tblGrid>
      <w:tr w:rsidR="008873E6" w:rsidRPr="00E30577" w:rsidTr="008873E6">
        <w:tc>
          <w:tcPr>
            <w:tcW w:w="2574" w:type="dxa"/>
          </w:tcPr>
          <w:p w:rsidR="008873E6" w:rsidRPr="00E30577" w:rsidRDefault="008873E6" w:rsidP="008873E6">
            <w:pPr>
              <w:jc w:val="center"/>
              <w:rPr>
                <w:b/>
                <w:sz w:val="18"/>
                <w:szCs w:val="18"/>
              </w:rPr>
            </w:pPr>
            <w:r w:rsidRPr="00E30577">
              <w:rPr>
                <w:b/>
                <w:sz w:val="18"/>
                <w:szCs w:val="18"/>
              </w:rPr>
              <w:t>FLA</w:t>
            </w:r>
          </w:p>
        </w:tc>
        <w:tc>
          <w:tcPr>
            <w:tcW w:w="2574" w:type="dxa"/>
          </w:tcPr>
          <w:p w:rsidR="008873E6" w:rsidRPr="00E30577" w:rsidRDefault="008873E6" w:rsidP="008873E6">
            <w:pPr>
              <w:jc w:val="center"/>
              <w:rPr>
                <w:b/>
                <w:sz w:val="18"/>
                <w:szCs w:val="18"/>
              </w:rPr>
            </w:pPr>
            <w:r w:rsidRPr="00E30577">
              <w:rPr>
                <w:b/>
                <w:sz w:val="18"/>
                <w:szCs w:val="18"/>
              </w:rPr>
              <w:t>HS</w:t>
            </w:r>
          </w:p>
        </w:tc>
        <w:tc>
          <w:tcPr>
            <w:tcW w:w="2574" w:type="dxa"/>
          </w:tcPr>
          <w:p w:rsidR="008873E6" w:rsidRPr="00E30577" w:rsidRDefault="008873E6" w:rsidP="008873E6">
            <w:pPr>
              <w:jc w:val="center"/>
              <w:rPr>
                <w:b/>
                <w:sz w:val="18"/>
                <w:szCs w:val="18"/>
              </w:rPr>
            </w:pPr>
            <w:r w:rsidRPr="00E30577">
              <w:rPr>
                <w:b/>
                <w:sz w:val="18"/>
                <w:szCs w:val="18"/>
              </w:rPr>
              <w:t>LDES</w:t>
            </w:r>
          </w:p>
        </w:tc>
        <w:tc>
          <w:tcPr>
            <w:tcW w:w="2574" w:type="dxa"/>
          </w:tcPr>
          <w:p w:rsidR="008873E6" w:rsidRPr="00E30577" w:rsidRDefault="008873E6" w:rsidP="008873E6">
            <w:pPr>
              <w:jc w:val="center"/>
              <w:rPr>
                <w:b/>
                <w:sz w:val="18"/>
                <w:szCs w:val="18"/>
              </w:rPr>
            </w:pPr>
            <w:r w:rsidRPr="00E30577">
              <w:rPr>
                <w:b/>
                <w:sz w:val="18"/>
                <w:szCs w:val="18"/>
              </w:rPr>
              <w:t>TL</w:t>
            </w:r>
            <w:r>
              <w:rPr>
                <w:b/>
                <w:sz w:val="18"/>
                <w:szCs w:val="18"/>
              </w:rPr>
              <w:t>C</w:t>
            </w:r>
          </w:p>
        </w:tc>
      </w:tr>
      <w:tr w:rsidR="008873E6" w:rsidRPr="00E30577" w:rsidTr="008873E6">
        <w:trPr>
          <w:trHeight w:val="233"/>
        </w:trPr>
        <w:tc>
          <w:tcPr>
            <w:tcW w:w="2574" w:type="dxa"/>
          </w:tcPr>
          <w:p w:rsidR="008873E6" w:rsidRPr="00E30577" w:rsidRDefault="008873E6" w:rsidP="008873E6">
            <w:pPr>
              <w:rPr>
                <w:sz w:val="18"/>
                <w:szCs w:val="18"/>
              </w:rPr>
            </w:pPr>
            <w:r>
              <w:rPr>
                <w:sz w:val="18"/>
                <w:szCs w:val="18"/>
              </w:rPr>
              <w:t>Devine, Mary Ann</w:t>
            </w:r>
          </w:p>
        </w:tc>
        <w:tc>
          <w:tcPr>
            <w:tcW w:w="2574" w:type="dxa"/>
          </w:tcPr>
          <w:p w:rsidR="008873E6" w:rsidRPr="00E30577" w:rsidRDefault="008873E6" w:rsidP="008873E6">
            <w:pPr>
              <w:rPr>
                <w:sz w:val="18"/>
                <w:szCs w:val="18"/>
              </w:rPr>
            </w:pPr>
            <w:r>
              <w:rPr>
                <w:sz w:val="18"/>
                <w:szCs w:val="18"/>
              </w:rPr>
              <w:t>Burzminski, Nancy</w:t>
            </w:r>
          </w:p>
        </w:tc>
        <w:tc>
          <w:tcPr>
            <w:tcW w:w="2574" w:type="dxa"/>
          </w:tcPr>
          <w:p w:rsidR="008873E6" w:rsidRPr="00E30577" w:rsidRDefault="006406E2" w:rsidP="008873E6">
            <w:pPr>
              <w:rPr>
                <w:sz w:val="18"/>
                <w:szCs w:val="18"/>
              </w:rPr>
            </w:pPr>
            <w:r>
              <w:rPr>
                <w:sz w:val="18"/>
                <w:szCs w:val="18"/>
              </w:rPr>
              <w:t>Anhalt, Karla</w:t>
            </w:r>
          </w:p>
        </w:tc>
        <w:tc>
          <w:tcPr>
            <w:tcW w:w="2574" w:type="dxa"/>
          </w:tcPr>
          <w:p w:rsidR="008873E6" w:rsidRPr="00E30577" w:rsidRDefault="008873E6" w:rsidP="008873E6">
            <w:pPr>
              <w:rPr>
                <w:sz w:val="18"/>
                <w:szCs w:val="18"/>
              </w:rPr>
            </w:pPr>
            <w:r>
              <w:rPr>
                <w:sz w:val="18"/>
                <w:szCs w:val="18"/>
              </w:rPr>
              <w:t>Brooks, Bette</w:t>
            </w:r>
          </w:p>
        </w:tc>
      </w:tr>
      <w:tr w:rsidR="006406E2" w:rsidRPr="00E30577" w:rsidTr="008873E6">
        <w:tc>
          <w:tcPr>
            <w:tcW w:w="2574" w:type="dxa"/>
          </w:tcPr>
          <w:p w:rsidR="006406E2" w:rsidRDefault="006406E2" w:rsidP="008873E6">
            <w:pPr>
              <w:rPr>
                <w:sz w:val="18"/>
                <w:szCs w:val="18"/>
              </w:rPr>
            </w:pPr>
          </w:p>
        </w:tc>
        <w:tc>
          <w:tcPr>
            <w:tcW w:w="2574" w:type="dxa"/>
          </w:tcPr>
          <w:p w:rsidR="006406E2" w:rsidRDefault="006406E2" w:rsidP="008873E6">
            <w:pPr>
              <w:rPr>
                <w:sz w:val="18"/>
                <w:szCs w:val="18"/>
              </w:rPr>
            </w:pPr>
            <w:r>
              <w:rPr>
                <w:sz w:val="18"/>
                <w:szCs w:val="18"/>
              </w:rPr>
              <w:t>Glickman, Ellen</w:t>
            </w:r>
          </w:p>
        </w:tc>
        <w:tc>
          <w:tcPr>
            <w:tcW w:w="2574" w:type="dxa"/>
          </w:tcPr>
          <w:p w:rsidR="006406E2" w:rsidRDefault="006406E2" w:rsidP="008873E6">
            <w:pPr>
              <w:rPr>
                <w:sz w:val="18"/>
                <w:szCs w:val="18"/>
              </w:rPr>
            </w:pPr>
            <w:r>
              <w:rPr>
                <w:sz w:val="18"/>
                <w:szCs w:val="18"/>
              </w:rPr>
              <w:t>Luft, Pam</w:t>
            </w:r>
          </w:p>
        </w:tc>
        <w:tc>
          <w:tcPr>
            <w:tcW w:w="2574" w:type="dxa"/>
          </w:tcPr>
          <w:p w:rsidR="006406E2" w:rsidRDefault="006406E2" w:rsidP="008873E6">
            <w:pPr>
              <w:rPr>
                <w:sz w:val="18"/>
                <w:szCs w:val="18"/>
              </w:rPr>
            </w:pPr>
            <w:r>
              <w:rPr>
                <w:sz w:val="18"/>
                <w:szCs w:val="18"/>
              </w:rPr>
              <w:t>Collier, Connie</w:t>
            </w:r>
          </w:p>
        </w:tc>
      </w:tr>
      <w:tr w:rsidR="008873E6" w:rsidRPr="00E30577" w:rsidTr="008873E6">
        <w:tc>
          <w:tcPr>
            <w:tcW w:w="2574" w:type="dxa"/>
          </w:tcPr>
          <w:p w:rsidR="008873E6" w:rsidRDefault="008873E6" w:rsidP="008873E6">
            <w:pPr>
              <w:rPr>
                <w:sz w:val="18"/>
                <w:szCs w:val="18"/>
              </w:rPr>
            </w:pPr>
          </w:p>
        </w:tc>
        <w:tc>
          <w:tcPr>
            <w:tcW w:w="2574" w:type="dxa"/>
          </w:tcPr>
          <w:p w:rsidR="008873E6" w:rsidRPr="00E30577" w:rsidRDefault="008873E6" w:rsidP="008873E6">
            <w:pPr>
              <w:rPr>
                <w:sz w:val="18"/>
                <w:szCs w:val="18"/>
              </w:rPr>
            </w:pPr>
            <w:r>
              <w:rPr>
                <w:sz w:val="18"/>
                <w:szCs w:val="18"/>
              </w:rPr>
              <w:t>Hawks, John</w:t>
            </w:r>
          </w:p>
        </w:tc>
        <w:tc>
          <w:tcPr>
            <w:tcW w:w="2574" w:type="dxa"/>
          </w:tcPr>
          <w:p w:rsidR="008873E6" w:rsidRPr="00E30577" w:rsidRDefault="008873E6" w:rsidP="008873E6">
            <w:pPr>
              <w:rPr>
                <w:sz w:val="18"/>
                <w:szCs w:val="18"/>
              </w:rPr>
            </w:pPr>
            <w:r>
              <w:rPr>
                <w:sz w:val="18"/>
                <w:szCs w:val="18"/>
              </w:rPr>
              <w:t>Rumrill, Phil</w:t>
            </w:r>
          </w:p>
        </w:tc>
        <w:tc>
          <w:tcPr>
            <w:tcW w:w="2574" w:type="dxa"/>
          </w:tcPr>
          <w:p w:rsidR="008873E6" w:rsidRPr="00E30577" w:rsidRDefault="008873E6" w:rsidP="008873E6">
            <w:pPr>
              <w:rPr>
                <w:sz w:val="18"/>
                <w:szCs w:val="18"/>
              </w:rPr>
            </w:pPr>
            <w:r>
              <w:rPr>
                <w:sz w:val="18"/>
                <w:szCs w:val="18"/>
              </w:rPr>
              <w:t>Henderson, Jim</w:t>
            </w:r>
          </w:p>
        </w:tc>
      </w:tr>
      <w:tr w:rsidR="006406E2" w:rsidRPr="00E30577" w:rsidTr="008873E6">
        <w:tc>
          <w:tcPr>
            <w:tcW w:w="2574" w:type="dxa"/>
          </w:tcPr>
          <w:p w:rsidR="006406E2" w:rsidRDefault="006406E2" w:rsidP="008873E6">
            <w:pPr>
              <w:rPr>
                <w:sz w:val="18"/>
                <w:szCs w:val="18"/>
              </w:rPr>
            </w:pPr>
          </w:p>
        </w:tc>
        <w:tc>
          <w:tcPr>
            <w:tcW w:w="2574" w:type="dxa"/>
          </w:tcPr>
          <w:p w:rsidR="006406E2" w:rsidRDefault="006406E2" w:rsidP="008873E6">
            <w:pPr>
              <w:rPr>
                <w:sz w:val="18"/>
                <w:szCs w:val="18"/>
              </w:rPr>
            </w:pPr>
            <w:r>
              <w:rPr>
                <w:sz w:val="18"/>
                <w:szCs w:val="18"/>
              </w:rPr>
              <w:t>Kerr, Dianne</w:t>
            </w:r>
          </w:p>
        </w:tc>
        <w:tc>
          <w:tcPr>
            <w:tcW w:w="2574" w:type="dxa"/>
          </w:tcPr>
          <w:p w:rsidR="006406E2" w:rsidRPr="00E30577" w:rsidRDefault="006406E2" w:rsidP="008873E6">
            <w:pPr>
              <w:rPr>
                <w:sz w:val="18"/>
                <w:szCs w:val="18"/>
              </w:rPr>
            </w:pPr>
          </w:p>
        </w:tc>
        <w:tc>
          <w:tcPr>
            <w:tcW w:w="2574" w:type="dxa"/>
          </w:tcPr>
          <w:p w:rsidR="006406E2" w:rsidRPr="00E30577" w:rsidRDefault="006406E2" w:rsidP="006406E2">
            <w:pPr>
              <w:rPr>
                <w:sz w:val="18"/>
                <w:szCs w:val="18"/>
              </w:rPr>
            </w:pPr>
            <w:r>
              <w:rPr>
                <w:sz w:val="18"/>
                <w:szCs w:val="18"/>
              </w:rPr>
              <w:t>Morgan, Denise</w:t>
            </w:r>
          </w:p>
        </w:tc>
      </w:tr>
      <w:tr w:rsidR="006406E2" w:rsidRPr="00E30577" w:rsidTr="008873E6">
        <w:tc>
          <w:tcPr>
            <w:tcW w:w="2574" w:type="dxa"/>
          </w:tcPr>
          <w:p w:rsidR="006406E2" w:rsidRDefault="006406E2" w:rsidP="008873E6">
            <w:pPr>
              <w:rPr>
                <w:sz w:val="18"/>
                <w:szCs w:val="18"/>
              </w:rPr>
            </w:pPr>
          </w:p>
        </w:tc>
        <w:tc>
          <w:tcPr>
            <w:tcW w:w="2574" w:type="dxa"/>
          </w:tcPr>
          <w:p w:rsidR="006406E2" w:rsidRPr="00E30577" w:rsidRDefault="006406E2" w:rsidP="008873E6">
            <w:pPr>
              <w:rPr>
                <w:sz w:val="18"/>
                <w:szCs w:val="18"/>
              </w:rPr>
            </w:pPr>
            <w:r>
              <w:rPr>
                <w:sz w:val="18"/>
                <w:szCs w:val="18"/>
              </w:rPr>
              <w:t>Peer, Kim</w:t>
            </w:r>
          </w:p>
        </w:tc>
        <w:tc>
          <w:tcPr>
            <w:tcW w:w="2574" w:type="dxa"/>
          </w:tcPr>
          <w:p w:rsidR="006406E2" w:rsidRPr="00E30577" w:rsidRDefault="006406E2" w:rsidP="008873E6">
            <w:pPr>
              <w:rPr>
                <w:sz w:val="18"/>
                <w:szCs w:val="18"/>
              </w:rPr>
            </w:pPr>
          </w:p>
        </w:tc>
        <w:tc>
          <w:tcPr>
            <w:tcW w:w="2574" w:type="dxa"/>
          </w:tcPr>
          <w:p w:rsidR="006406E2" w:rsidRPr="00E30577" w:rsidRDefault="006406E2" w:rsidP="006406E2">
            <w:pPr>
              <w:rPr>
                <w:sz w:val="18"/>
                <w:szCs w:val="18"/>
              </w:rPr>
            </w:pPr>
            <w:r>
              <w:rPr>
                <w:sz w:val="18"/>
                <w:szCs w:val="18"/>
              </w:rPr>
              <w:t>O’Connor, Pat</w:t>
            </w:r>
          </w:p>
        </w:tc>
      </w:tr>
    </w:tbl>
    <w:p w:rsidR="00661B95" w:rsidRDefault="00661B95" w:rsidP="00661B95">
      <w:pPr>
        <w:rPr>
          <w:sz w:val="20"/>
          <w:szCs w:val="20"/>
        </w:rPr>
      </w:pPr>
      <w:r w:rsidRPr="004874C9">
        <w:rPr>
          <w:sz w:val="20"/>
          <w:szCs w:val="20"/>
        </w:rPr>
        <w:t>GUESTS:</w:t>
      </w:r>
      <w:r w:rsidR="00604489" w:rsidRPr="004874C9">
        <w:rPr>
          <w:sz w:val="20"/>
          <w:szCs w:val="20"/>
        </w:rPr>
        <w:t xml:space="preserve">  </w:t>
      </w:r>
      <w:r w:rsidR="006406E2">
        <w:rPr>
          <w:sz w:val="20"/>
          <w:szCs w:val="20"/>
        </w:rPr>
        <w:t>None</w:t>
      </w:r>
    </w:p>
    <w:p w:rsidR="006406E2" w:rsidRPr="004874C9" w:rsidRDefault="006406E2" w:rsidP="00661B95">
      <w:pPr>
        <w:rPr>
          <w:sz w:val="20"/>
          <w:szCs w:val="20"/>
        </w:rPr>
      </w:pPr>
    </w:p>
    <w:tbl>
      <w:tblPr>
        <w:tblStyle w:val="TableGrid"/>
        <w:tblW w:w="0" w:type="auto"/>
        <w:tblLook w:val="04A0"/>
      </w:tblPr>
      <w:tblGrid>
        <w:gridCol w:w="2178"/>
        <w:gridCol w:w="5940"/>
        <w:gridCol w:w="2178"/>
      </w:tblGrid>
      <w:tr w:rsidR="00661B95" w:rsidRPr="004874C9" w:rsidTr="00661B95">
        <w:tc>
          <w:tcPr>
            <w:tcW w:w="2178" w:type="dxa"/>
          </w:tcPr>
          <w:p w:rsidR="00661B95" w:rsidRPr="004874C9" w:rsidRDefault="00661B95" w:rsidP="00661B95">
            <w:pPr>
              <w:rPr>
                <w:b/>
                <w:sz w:val="20"/>
                <w:szCs w:val="20"/>
              </w:rPr>
            </w:pPr>
            <w:r w:rsidRPr="004874C9">
              <w:rPr>
                <w:b/>
                <w:sz w:val="20"/>
                <w:szCs w:val="20"/>
              </w:rPr>
              <w:t>AGENDA ITEM</w:t>
            </w:r>
          </w:p>
        </w:tc>
        <w:tc>
          <w:tcPr>
            <w:tcW w:w="5940" w:type="dxa"/>
          </w:tcPr>
          <w:p w:rsidR="00661B95" w:rsidRPr="004874C9" w:rsidRDefault="00661B95" w:rsidP="00661B95">
            <w:pPr>
              <w:jc w:val="center"/>
              <w:rPr>
                <w:b/>
                <w:sz w:val="20"/>
                <w:szCs w:val="20"/>
              </w:rPr>
            </w:pPr>
            <w:r w:rsidRPr="004874C9">
              <w:rPr>
                <w:b/>
                <w:sz w:val="20"/>
                <w:szCs w:val="20"/>
              </w:rPr>
              <w:t>DISCUSSION</w:t>
            </w:r>
          </w:p>
        </w:tc>
        <w:tc>
          <w:tcPr>
            <w:tcW w:w="2178" w:type="dxa"/>
          </w:tcPr>
          <w:p w:rsidR="00661B95" w:rsidRPr="004874C9" w:rsidRDefault="00661B95" w:rsidP="00661B95">
            <w:pPr>
              <w:jc w:val="center"/>
              <w:rPr>
                <w:b/>
                <w:sz w:val="20"/>
                <w:szCs w:val="20"/>
              </w:rPr>
            </w:pPr>
            <w:r w:rsidRPr="004874C9">
              <w:rPr>
                <w:b/>
                <w:sz w:val="20"/>
                <w:szCs w:val="20"/>
              </w:rPr>
              <w:t>ACTION TAKEN</w:t>
            </w:r>
          </w:p>
        </w:tc>
      </w:tr>
      <w:tr w:rsidR="00661B95" w:rsidRPr="004874C9" w:rsidTr="00661B95">
        <w:tc>
          <w:tcPr>
            <w:tcW w:w="2178" w:type="dxa"/>
          </w:tcPr>
          <w:p w:rsidR="00661B95" w:rsidRPr="001F7867" w:rsidRDefault="001F7867" w:rsidP="00661B95">
            <w:pPr>
              <w:rPr>
                <w:sz w:val="20"/>
                <w:szCs w:val="20"/>
              </w:rPr>
            </w:pPr>
            <w:r w:rsidRPr="001F7867">
              <w:rPr>
                <w:sz w:val="20"/>
                <w:szCs w:val="20"/>
              </w:rPr>
              <w:t>Graduate Faculty Status</w:t>
            </w:r>
          </w:p>
        </w:tc>
        <w:tc>
          <w:tcPr>
            <w:tcW w:w="5940" w:type="dxa"/>
          </w:tcPr>
          <w:p w:rsidR="00807E92" w:rsidRPr="001F7867" w:rsidRDefault="001F7867" w:rsidP="001F7867">
            <w:pPr>
              <w:pStyle w:val="ListParagraph"/>
              <w:ind w:left="0"/>
              <w:rPr>
                <w:sz w:val="20"/>
                <w:szCs w:val="20"/>
              </w:rPr>
            </w:pPr>
            <w:r w:rsidRPr="001F7867">
              <w:rPr>
                <w:sz w:val="20"/>
                <w:szCs w:val="20"/>
              </w:rPr>
              <w:t>Dr. Gordon stated they established a process for grad faculty rep.  Will send their process to Nancy B for review.  Focus is on responsibility of grad faculty rep.</w:t>
            </w:r>
          </w:p>
        </w:tc>
        <w:tc>
          <w:tcPr>
            <w:tcW w:w="2178" w:type="dxa"/>
          </w:tcPr>
          <w:p w:rsidR="00661B95" w:rsidRPr="001F7867" w:rsidRDefault="00661B95" w:rsidP="00661B95">
            <w:pPr>
              <w:rPr>
                <w:sz w:val="20"/>
                <w:szCs w:val="20"/>
              </w:rPr>
            </w:pPr>
          </w:p>
        </w:tc>
      </w:tr>
      <w:tr w:rsidR="0046307E" w:rsidRPr="004874C9" w:rsidTr="00661B95">
        <w:tc>
          <w:tcPr>
            <w:tcW w:w="2178" w:type="dxa"/>
          </w:tcPr>
          <w:p w:rsidR="0046307E" w:rsidRPr="001F7867" w:rsidRDefault="001F7867" w:rsidP="00661B95">
            <w:pPr>
              <w:rPr>
                <w:sz w:val="20"/>
                <w:szCs w:val="20"/>
              </w:rPr>
            </w:pPr>
            <w:r w:rsidRPr="001F7867">
              <w:rPr>
                <w:sz w:val="20"/>
                <w:szCs w:val="20"/>
              </w:rPr>
              <w:t>Graduate Assistants</w:t>
            </w:r>
          </w:p>
        </w:tc>
        <w:tc>
          <w:tcPr>
            <w:tcW w:w="5940" w:type="dxa"/>
          </w:tcPr>
          <w:p w:rsidR="0046307E" w:rsidRPr="001F7867" w:rsidRDefault="001F7867" w:rsidP="001F7867">
            <w:pPr>
              <w:pStyle w:val="ListParagraph"/>
              <w:ind w:left="0"/>
              <w:rPr>
                <w:sz w:val="20"/>
                <w:szCs w:val="20"/>
              </w:rPr>
            </w:pPr>
            <w:r w:rsidRPr="001F7867">
              <w:rPr>
                <w:sz w:val="20"/>
                <w:szCs w:val="20"/>
              </w:rPr>
              <w:t>Discussion regarding setting deadlines for applying for a Graduate Assistant.  If a deadline is established it should be publicized.  Dr. Barkley suggested mid Spring and Dr. McClelland suggested the month of April.  Dr. Barkley raised the question if a deadline is established can they award a position to a person who applied after the deadline.  Dr. Cowan thought it might be more helpful if programs actively review them at a certain time instead of using the work deadline.  Example:   would be to actively review them April 1st.</w:t>
            </w:r>
          </w:p>
          <w:p w:rsidR="001F7867" w:rsidRPr="001F7867" w:rsidRDefault="001F7867" w:rsidP="001F7867">
            <w:pPr>
              <w:pStyle w:val="ListParagraph"/>
              <w:ind w:left="0"/>
              <w:rPr>
                <w:sz w:val="20"/>
                <w:szCs w:val="20"/>
              </w:rPr>
            </w:pPr>
          </w:p>
          <w:p w:rsidR="001F7867" w:rsidRPr="001F7867" w:rsidRDefault="001F7867" w:rsidP="001F7867">
            <w:pPr>
              <w:rPr>
                <w:sz w:val="20"/>
                <w:szCs w:val="20"/>
              </w:rPr>
            </w:pPr>
            <w:r w:rsidRPr="001F7867">
              <w:rPr>
                <w:sz w:val="20"/>
                <w:szCs w:val="20"/>
              </w:rPr>
              <w:t>Dr. Richardson wanted to know when they</w:t>
            </w:r>
            <w:r w:rsidR="00B07EF8">
              <w:rPr>
                <w:sz w:val="20"/>
                <w:szCs w:val="20"/>
              </w:rPr>
              <w:t xml:space="preserve"> will know the allocation for GA</w:t>
            </w:r>
            <w:r w:rsidRPr="001F7867">
              <w:rPr>
                <w:sz w:val="20"/>
                <w:szCs w:val="20"/>
              </w:rPr>
              <w:t>s and Dean Barbour said it w</w:t>
            </w:r>
            <w:r w:rsidR="00B07EF8">
              <w:rPr>
                <w:sz w:val="20"/>
                <w:szCs w:val="20"/>
              </w:rPr>
              <w:t>ould be in January.  Dean Mahon</w:t>
            </w:r>
            <w:r w:rsidRPr="001F7867">
              <w:rPr>
                <w:sz w:val="20"/>
                <w:szCs w:val="20"/>
              </w:rPr>
              <w:t xml:space="preserve">y has agreed to commit 10% </w:t>
            </w:r>
            <w:r w:rsidR="00B07EF8">
              <w:rPr>
                <w:sz w:val="20"/>
                <w:szCs w:val="20"/>
              </w:rPr>
              <w:t xml:space="preserve">of the college budget </w:t>
            </w:r>
            <w:r w:rsidRPr="001F7867">
              <w:rPr>
                <w:sz w:val="20"/>
                <w:szCs w:val="20"/>
              </w:rPr>
              <w:t>to GA budget.  Up to schools to allocate the money to programs.  Dean B also reminded them that the allocation was set up to change over the next 3 year period.</w:t>
            </w:r>
          </w:p>
        </w:tc>
        <w:tc>
          <w:tcPr>
            <w:tcW w:w="2178" w:type="dxa"/>
          </w:tcPr>
          <w:p w:rsidR="0046307E" w:rsidRPr="001F7867" w:rsidRDefault="0046307E" w:rsidP="00661B95">
            <w:pPr>
              <w:rPr>
                <w:sz w:val="20"/>
                <w:szCs w:val="20"/>
              </w:rPr>
            </w:pPr>
          </w:p>
        </w:tc>
      </w:tr>
      <w:tr w:rsidR="00661B95" w:rsidRPr="004874C9" w:rsidTr="00661B95">
        <w:tc>
          <w:tcPr>
            <w:tcW w:w="2178" w:type="dxa"/>
          </w:tcPr>
          <w:p w:rsidR="00661B95" w:rsidRPr="001F7867" w:rsidRDefault="001F7867" w:rsidP="00661B95">
            <w:pPr>
              <w:rPr>
                <w:sz w:val="20"/>
                <w:szCs w:val="20"/>
              </w:rPr>
            </w:pPr>
            <w:r w:rsidRPr="001F7867">
              <w:rPr>
                <w:sz w:val="20"/>
                <w:szCs w:val="20"/>
              </w:rPr>
              <w:t>Diversity Funding</w:t>
            </w:r>
          </w:p>
        </w:tc>
        <w:tc>
          <w:tcPr>
            <w:tcW w:w="5940" w:type="dxa"/>
          </w:tcPr>
          <w:p w:rsidR="005D431B" w:rsidRPr="001F7867" w:rsidRDefault="001F7867" w:rsidP="001F7867">
            <w:pPr>
              <w:rPr>
                <w:sz w:val="20"/>
                <w:szCs w:val="20"/>
              </w:rPr>
            </w:pPr>
            <w:r w:rsidRPr="001F7867">
              <w:rPr>
                <w:sz w:val="20"/>
                <w:szCs w:val="20"/>
              </w:rPr>
              <w:t>Dean Barbour wanted to remind everyone that Diana Van Winkle has been hired as a GA for 5 hours a week to work on funding for diversity.  She has be</w:t>
            </w:r>
            <w:r w:rsidR="00B07EF8">
              <w:rPr>
                <w:sz w:val="20"/>
                <w:szCs w:val="20"/>
              </w:rPr>
              <w:t>en working with Michele Hoverste</w:t>
            </w:r>
            <w:r w:rsidRPr="001F7867">
              <w:rPr>
                <w:sz w:val="20"/>
                <w:szCs w:val="20"/>
              </w:rPr>
              <w:t>n in looking for grants to support diversity and faculty.  Faculty was encouraged to contact her.</w:t>
            </w:r>
          </w:p>
        </w:tc>
        <w:tc>
          <w:tcPr>
            <w:tcW w:w="2178" w:type="dxa"/>
          </w:tcPr>
          <w:p w:rsidR="00661B95" w:rsidRPr="001F7867" w:rsidRDefault="00661B95" w:rsidP="00661B95">
            <w:pPr>
              <w:rPr>
                <w:sz w:val="20"/>
                <w:szCs w:val="20"/>
              </w:rPr>
            </w:pPr>
          </w:p>
        </w:tc>
      </w:tr>
      <w:tr w:rsidR="00661B95" w:rsidRPr="004874C9" w:rsidTr="00661B95">
        <w:tc>
          <w:tcPr>
            <w:tcW w:w="2178" w:type="dxa"/>
          </w:tcPr>
          <w:p w:rsidR="00661B95" w:rsidRPr="001F7867" w:rsidRDefault="001F7867" w:rsidP="00661B95">
            <w:pPr>
              <w:rPr>
                <w:sz w:val="20"/>
                <w:szCs w:val="20"/>
              </w:rPr>
            </w:pPr>
            <w:r w:rsidRPr="001F7867">
              <w:rPr>
                <w:sz w:val="20"/>
                <w:szCs w:val="20"/>
              </w:rPr>
              <w:t>Doctoral Program Review</w:t>
            </w:r>
          </w:p>
        </w:tc>
        <w:tc>
          <w:tcPr>
            <w:tcW w:w="5940" w:type="dxa"/>
          </w:tcPr>
          <w:p w:rsidR="001F7867" w:rsidRPr="001F7867" w:rsidRDefault="001F7867" w:rsidP="001F7867">
            <w:pPr>
              <w:rPr>
                <w:sz w:val="20"/>
                <w:szCs w:val="20"/>
              </w:rPr>
            </w:pPr>
            <w:r w:rsidRPr="001F7867">
              <w:rPr>
                <w:sz w:val="20"/>
                <w:szCs w:val="20"/>
              </w:rPr>
              <w:t>The committee has met twice already and the goal of the committee is to get a sense of the quality of our doctoral programs.  This is a faculty driven process and each P</w:t>
            </w:r>
            <w:r w:rsidR="00B07EF8">
              <w:rPr>
                <w:sz w:val="20"/>
                <w:szCs w:val="20"/>
              </w:rPr>
              <w:t xml:space="preserve">HD program has a representative. </w:t>
            </w:r>
          </w:p>
          <w:p w:rsidR="001F7867" w:rsidRPr="001F7867" w:rsidRDefault="001F7867" w:rsidP="001F7867">
            <w:pPr>
              <w:rPr>
                <w:sz w:val="20"/>
                <w:szCs w:val="20"/>
              </w:rPr>
            </w:pPr>
            <w:r w:rsidRPr="001F7867">
              <w:rPr>
                <w:sz w:val="20"/>
                <w:szCs w:val="20"/>
              </w:rPr>
              <w:t>T</w:t>
            </w:r>
            <w:r w:rsidR="00B07EF8">
              <w:rPr>
                <w:sz w:val="20"/>
                <w:szCs w:val="20"/>
              </w:rPr>
              <w:t>his is an initiative Dean Mahon</w:t>
            </w:r>
            <w:r w:rsidRPr="001F7867">
              <w:rPr>
                <w:sz w:val="20"/>
                <w:szCs w:val="20"/>
              </w:rPr>
              <w:t>y and Dean Ba</w:t>
            </w:r>
            <w:r w:rsidR="00B07EF8">
              <w:rPr>
                <w:sz w:val="20"/>
                <w:szCs w:val="20"/>
              </w:rPr>
              <w:t xml:space="preserve">rbour both felt was needed in order to provide hard evidence of the quality of our doctoral </w:t>
            </w:r>
            <w:r w:rsidR="00B07EF8">
              <w:rPr>
                <w:sz w:val="20"/>
                <w:szCs w:val="20"/>
              </w:rPr>
              <w:lastRenderedPageBreak/>
              <w:t>programs</w:t>
            </w:r>
            <w:r w:rsidRPr="001F7867">
              <w:rPr>
                <w:sz w:val="20"/>
                <w:szCs w:val="20"/>
              </w:rPr>
              <w:t>.  Dr. Kretovics was asked to assist with the doctoral review.  Some of the data that may be needed:</w:t>
            </w:r>
          </w:p>
          <w:p w:rsidR="001F7867" w:rsidRPr="001F7867" w:rsidRDefault="001F7867" w:rsidP="001F7867">
            <w:pPr>
              <w:numPr>
                <w:ilvl w:val="0"/>
                <w:numId w:val="2"/>
              </w:numPr>
              <w:rPr>
                <w:sz w:val="20"/>
                <w:szCs w:val="20"/>
              </w:rPr>
            </w:pPr>
            <w:r w:rsidRPr="001F7867">
              <w:rPr>
                <w:sz w:val="20"/>
                <w:szCs w:val="20"/>
              </w:rPr>
              <w:t>GRE means</w:t>
            </w:r>
          </w:p>
          <w:p w:rsidR="001F7867" w:rsidRPr="001F7867" w:rsidRDefault="001F7867" w:rsidP="001F7867">
            <w:pPr>
              <w:numPr>
                <w:ilvl w:val="0"/>
                <w:numId w:val="2"/>
              </w:numPr>
              <w:rPr>
                <w:sz w:val="20"/>
                <w:szCs w:val="20"/>
              </w:rPr>
            </w:pPr>
            <w:r w:rsidRPr="001F7867">
              <w:rPr>
                <w:sz w:val="20"/>
                <w:szCs w:val="20"/>
              </w:rPr>
              <w:t>How many students in each program</w:t>
            </w:r>
          </w:p>
          <w:p w:rsidR="001F7867" w:rsidRPr="001F7867" w:rsidRDefault="001F7867" w:rsidP="001F7867">
            <w:pPr>
              <w:numPr>
                <w:ilvl w:val="0"/>
                <w:numId w:val="2"/>
              </w:numPr>
              <w:rPr>
                <w:sz w:val="20"/>
                <w:szCs w:val="20"/>
              </w:rPr>
            </w:pPr>
            <w:r w:rsidRPr="001F7867">
              <w:rPr>
                <w:sz w:val="20"/>
                <w:szCs w:val="20"/>
              </w:rPr>
              <w:t>How long does it take a student to get through the program</w:t>
            </w:r>
          </w:p>
          <w:p w:rsidR="001F7867" w:rsidRPr="001F7867" w:rsidRDefault="001F7867" w:rsidP="001F7867">
            <w:pPr>
              <w:rPr>
                <w:sz w:val="20"/>
                <w:szCs w:val="20"/>
              </w:rPr>
            </w:pPr>
          </w:p>
          <w:p w:rsidR="001F7867" w:rsidRPr="001F7867" w:rsidRDefault="001F7867" w:rsidP="001F7867">
            <w:pPr>
              <w:rPr>
                <w:sz w:val="20"/>
                <w:szCs w:val="20"/>
              </w:rPr>
            </w:pPr>
            <w:r w:rsidRPr="001F7867">
              <w:rPr>
                <w:sz w:val="20"/>
                <w:szCs w:val="20"/>
              </w:rPr>
              <w:t xml:space="preserve">Next would be to look at the content of each program.  Would also need to determine what doctoral students need to know when they graduate and are they getting it here.  </w:t>
            </w:r>
            <w:r w:rsidR="00B07EF8">
              <w:rPr>
                <w:sz w:val="20"/>
                <w:szCs w:val="20"/>
              </w:rPr>
              <w:t xml:space="preserve"> </w:t>
            </w:r>
          </w:p>
          <w:p w:rsidR="001F7867" w:rsidRPr="001F7867" w:rsidRDefault="001F7867" w:rsidP="001F7867">
            <w:pPr>
              <w:rPr>
                <w:sz w:val="20"/>
                <w:szCs w:val="20"/>
              </w:rPr>
            </w:pPr>
          </w:p>
          <w:p w:rsidR="00661B95" w:rsidRPr="001F7867" w:rsidRDefault="001F7867" w:rsidP="001F7867">
            <w:pPr>
              <w:rPr>
                <w:sz w:val="20"/>
                <w:szCs w:val="20"/>
              </w:rPr>
            </w:pPr>
            <w:r w:rsidRPr="001F7867">
              <w:rPr>
                <w:sz w:val="20"/>
                <w:szCs w:val="20"/>
              </w:rPr>
              <w:t xml:space="preserve">Dean Barbour also noted no one else on campus is doing a doctoral program review as far as she knew.  This is being done for the college.  </w:t>
            </w:r>
          </w:p>
        </w:tc>
        <w:tc>
          <w:tcPr>
            <w:tcW w:w="2178" w:type="dxa"/>
          </w:tcPr>
          <w:p w:rsidR="00661B95" w:rsidRPr="001F7867" w:rsidRDefault="00661B95" w:rsidP="00661B95">
            <w:pPr>
              <w:rPr>
                <w:sz w:val="20"/>
                <w:szCs w:val="20"/>
              </w:rPr>
            </w:pPr>
          </w:p>
        </w:tc>
      </w:tr>
      <w:tr w:rsidR="001F7867" w:rsidRPr="004874C9" w:rsidTr="00661B95">
        <w:tc>
          <w:tcPr>
            <w:tcW w:w="2178" w:type="dxa"/>
          </w:tcPr>
          <w:p w:rsidR="001F7867" w:rsidRPr="001F7867" w:rsidRDefault="001F7867" w:rsidP="00661B95">
            <w:pPr>
              <w:rPr>
                <w:sz w:val="20"/>
                <w:szCs w:val="20"/>
              </w:rPr>
            </w:pPr>
            <w:r w:rsidRPr="001F7867">
              <w:rPr>
                <w:sz w:val="20"/>
                <w:szCs w:val="20"/>
              </w:rPr>
              <w:lastRenderedPageBreak/>
              <w:t>Graduate Policies</w:t>
            </w:r>
          </w:p>
        </w:tc>
        <w:tc>
          <w:tcPr>
            <w:tcW w:w="5940" w:type="dxa"/>
          </w:tcPr>
          <w:p w:rsidR="001F7867" w:rsidRPr="001F7867" w:rsidRDefault="001F7867" w:rsidP="001F7867">
            <w:pPr>
              <w:rPr>
                <w:sz w:val="20"/>
                <w:szCs w:val="20"/>
              </w:rPr>
            </w:pPr>
            <w:r w:rsidRPr="001F7867">
              <w:rPr>
                <w:sz w:val="20"/>
                <w:szCs w:val="20"/>
              </w:rPr>
              <w:t>First item was the inappropriate assignment of IN &amp; IP grades.  The graduate handbook, on page 9, has a very specific explanation as to when to assign an IN.</w:t>
            </w:r>
          </w:p>
          <w:p w:rsidR="001F7867" w:rsidRPr="001F7867" w:rsidRDefault="001F7867" w:rsidP="001F7867">
            <w:pPr>
              <w:rPr>
                <w:sz w:val="20"/>
                <w:szCs w:val="20"/>
              </w:rPr>
            </w:pPr>
          </w:p>
          <w:p w:rsidR="001F7867" w:rsidRPr="001F7867" w:rsidRDefault="001F7867" w:rsidP="001F7867">
            <w:pPr>
              <w:autoSpaceDE w:val="0"/>
              <w:autoSpaceDN w:val="0"/>
              <w:adjustRightInd w:val="0"/>
              <w:rPr>
                <w:rFonts w:cs="Arial"/>
                <w:b/>
                <w:sz w:val="20"/>
                <w:szCs w:val="20"/>
              </w:rPr>
            </w:pPr>
            <w:r w:rsidRPr="001F7867">
              <w:rPr>
                <w:rFonts w:cs="Arial"/>
                <w:b/>
                <w:sz w:val="20"/>
                <w:szCs w:val="20"/>
              </w:rPr>
              <w:t>“The administrative mark of “IN” (incomplete) may be given to students who are currently</w:t>
            </w:r>
            <w:r>
              <w:rPr>
                <w:rFonts w:cs="Arial"/>
                <w:b/>
                <w:sz w:val="20"/>
                <w:szCs w:val="20"/>
              </w:rPr>
              <w:t xml:space="preserve"> </w:t>
            </w:r>
            <w:r w:rsidRPr="001F7867">
              <w:rPr>
                <w:rFonts w:cs="Arial"/>
                <w:b/>
                <w:sz w:val="20"/>
                <w:szCs w:val="20"/>
              </w:rPr>
              <w:t>earning a “C” or better and are unable to complete the required work between the</w:t>
            </w:r>
            <w:r>
              <w:rPr>
                <w:rFonts w:cs="Arial"/>
                <w:b/>
                <w:sz w:val="20"/>
                <w:szCs w:val="20"/>
              </w:rPr>
              <w:t xml:space="preserve"> </w:t>
            </w:r>
            <w:r w:rsidRPr="001F7867">
              <w:rPr>
                <w:rFonts w:cs="Arial"/>
                <w:b/>
                <w:sz w:val="20"/>
                <w:szCs w:val="20"/>
              </w:rPr>
              <w:t>course withdrawal deadline and the end of classes due to extenuating circumstances.</w:t>
            </w:r>
          </w:p>
          <w:p w:rsidR="001F7867" w:rsidRPr="001F7867" w:rsidRDefault="001F7867" w:rsidP="001F7867">
            <w:pPr>
              <w:autoSpaceDE w:val="0"/>
              <w:autoSpaceDN w:val="0"/>
              <w:adjustRightInd w:val="0"/>
              <w:rPr>
                <w:rFonts w:cs="Arial"/>
                <w:b/>
                <w:sz w:val="20"/>
                <w:szCs w:val="20"/>
              </w:rPr>
            </w:pPr>
            <w:r w:rsidRPr="001F7867">
              <w:rPr>
                <w:rFonts w:cs="Arial"/>
                <w:b/>
                <w:sz w:val="20"/>
                <w:szCs w:val="20"/>
              </w:rPr>
              <w:t>Appropriate documentation is generally required to support the extenuating</w:t>
            </w:r>
            <w:r>
              <w:rPr>
                <w:rFonts w:cs="Arial"/>
                <w:b/>
                <w:sz w:val="20"/>
                <w:szCs w:val="20"/>
              </w:rPr>
              <w:t xml:space="preserve"> </w:t>
            </w:r>
            <w:r w:rsidRPr="001F7867">
              <w:rPr>
                <w:rFonts w:cs="Arial"/>
                <w:b/>
                <w:sz w:val="20"/>
                <w:szCs w:val="20"/>
              </w:rPr>
              <w:t>circumstances. The student must initiate the request for the incomplete mark from the</w:t>
            </w:r>
            <w:r>
              <w:rPr>
                <w:rFonts w:cs="Arial"/>
                <w:b/>
                <w:sz w:val="20"/>
                <w:szCs w:val="20"/>
              </w:rPr>
              <w:t xml:space="preserve"> </w:t>
            </w:r>
            <w:r w:rsidRPr="001F7867">
              <w:rPr>
                <w:rFonts w:cs="Arial"/>
                <w:b/>
                <w:sz w:val="20"/>
                <w:szCs w:val="20"/>
              </w:rPr>
              <w:t>instructor, and it is the responsibility of the student to make arrangements to make up</w:t>
            </w:r>
          </w:p>
          <w:p w:rsidR="001F7867" w:rsidRPr="001F7867" w:rsidRDefault="001F7867" w:rsidP="001F7867">
            <w:pPr>
              <w:rPr>
                <w:rFonts w:cs="Arial"/>
                <w:b/>
                <w:sz w:val="20"/>
                <w:szCs w:val="20"/>
              </w:rPr>
            </w:pPr>
            <w:r w:rsidRPr="001F7867">
              <w:rPr>
                <w:rFonts w:cs="Arial"/>
                <w:b/>
                <w:sz w:val="20"/>
                <w:szCs w:val="20"/>
              </w:rPr>
              <w:t>the incomplete work. Incompletes must be made up within one calendar year.”</w:t>
            </w:r>
          </w:p>
          <w:p w:rsidR="001F7867" w:rsidRPr="001F7867" w:rsidRDefault="001F7867" w:rsidP="001F7867">
            <w:pPr>
              <w:rPr>
                <w:rFonts w:cs="Arial"/>
                <w:sz w:val="20"/>
                <w:szCs w:val="20"/>
              </w:rPr>
            </w:pPr>
          </w:p>
          <w:p w:rsidR="001F7867" w:rsidRPr="001F7867" w:rsidRDefault="001F7867" w:rsidP="001F7867">
            <w:pPr>
              <w:rPr>
                <w:rFonts w:cs="Arial"/>
                <w:sz w:val="20"/>
                <w:szCs w:val="20"/>
              </w:rPr>
            </w:pPr>
            <w:r w:rsidRPr="001F7867">
              <w:rPr>
                <w:rFonts w:cs="Arial"/>
                <w:sz w:val="20"/>
                <w:szCs w:val="20"/>
              </w:rPr>
              <w:t>Extenuating circumstances will be determined by the faculty.  At the end of one year, the “IN” defaults to a</w:t>
            </w:r>
            <w:r w:rsidR="00B07EF8">
              <w:rPr>
                <w:rFonts w:cs="Arial"/>
                <w:sz w:val="20"/>
                <w:szCs w:val="20"/>
              </w:rPr>
              <w:t>n</w:t>
            </w:r>
            <w:r w:rsidRPr="001F7867">
              <w:rPr>
                <w:rFonts w:cs="Arial"/>
                <w:sz w:val="20"/>
                <w:szCs w:val="20"/>
              </w:rPr>
              <w:t xml:space="preserve"> “F” unless faculty chooses another default grade.  The documentation mentioned above could be sent to the Office of Graduate Student Services to be filed in the student’s file.</w:t>
            </w:r>
          </w:p>
          <w:p w:rsidR="001F7867" w:rsidRPr="001F7867" w:rsidRDefault="001F7867" w:rsidP="001F7867">
            <w:pPr>
              <w:rPr>
                <w:rFonts w:cs="Arial"/>
                <w:sz w:val="20"/>
                <w:szCs w:val="20"/>
              </w:rPr>
            </w:pPr>
          </w:p>
          <w:p w:rsidR="001F7867" w:rsidRPr="001F7867" w:rsidRDefault="001F7867" w:rsidP="001F7867">
            <w:pPr>
              <w:rPr>
                <w:rFonts w:cs="Arial"/>
                <w:sz w:val="20"/>
                <w:szCs w:val="20"/>
              </w:rPr>
            </w:pPr>
            <w:r w:rsidRPr="001F7867">
              <w:rPr>
                <w:rFonts w:cs="Arial"/>
                <w:sz w:val="20"/>
                <w:szCs w:val="20"/>
              </w:rPr>
              <w:t>“S” grade is not figured in the student’s GPA however, if the student gets an “U”, the “U” is considered a “F” and is figured into the student’s GPA.</w:t>
            </w:r>
          </w:p>
          <w:p w:rsidR="001F7867" w:rsidRPr="001F7867" w:rsidRDefault="001F7867" w:rsidP="001F7867">
            <w:pPr>
              <w:rPr>
                <w:rFonts w:cs="Arial"/>
                <w:sz w:val="20"/>
                <w:szCs w:val="20"/>
              </w:rPr>
            </w:pPr>
          </w:p>
          <w:p w:rsidR="001F7867" w:rsidRPr="001F7867" w:rsidRDefault="001F7867" w:rsidP="001F7867">
            <w:pPr>
              <w:rPr>
                <w:rFonts w:cs="Arial"/>
                <w:sz w:val="20"/>
                <w:szCs w:val="20"/>
              </w:rPr>
            </w:pPr>
            <w:r w:rsidRPr="001F7867">
              <w:rPr>
                <w:rFonts w:cs="Arial"/>
                <w:sz w:val="20"/>
                <w:szCs w:val="20"/>
              </w:rPr>
              <w:t xml:space="preserve">Dean Barbour also brought up putting </w:t>
            </w:r>
            <w:r w:rsidR="00B07EF8">
              <w:rPr>
                <w:rFonts w:cs="Arial"/>
                <w:sz w:val="20"/>
                <w:szCs w:val="20"/>
              </w:rPr>
              <w:t xml:space="preserve">a </w:t>
            </w:r>
            <w:r w:rsidRPr="001F7867">
              <w:rPr>
                <w:rFonts w:cs="Arial"/>
                <w:sz w:val="20"/>
                <w:szCs w:val="20"/>
              </w:rPr>
              <w:t>hold on students when they are admitted to force the student to meet with their assigned advisor.  On page 12 of the handbook for master and educational specialist students it states:</w:t>
            </w:r>
          </w:p>
          <w:p w:rsidR="001F7867" w:rsidRPr="001F7867" w:rsidRDefault="001F7867" w:rsidP="001F7867">
            <w:pPr>
              <w:rPr>
                <w:rFonts w:cs="Arial"/>
                <w:sz w:val="20"/>
                <w:szCs w:val="20"/>
              </w:rPr>
            </w:pPr>
          </w:p>
          <w:p w:rsidR="001F7867" w:rsidRPr="001F7867" w:rsidRDefault="001F7867" w:rsidP="001F7867">
            <w:pPr>
              <w:autoSpaceDE w:val="0"/>
              <w:autoSpaceDN w:val="0"/>
              <w:adjustRightInd w:val="0"/>
              <w:rPr>
                <w:rFonts w:cs="Arial"/>
                <w:b/>
                <w:sz w:val="20"/>
                <w:szCs w:val="20"/>
              </w:rPr>
            </w:pPr>
            <w:r w:rsidRPr="001F7867">
              <w:rPr>
                <w:rFonts w:cs="Arial"/>
                <w:b/>
                <w:sz w:val="20"/>
                <w:szCs w:val="20"/>
              </w:rPr>
              <w:t>“This form should be filed no later than the end of the second semester of coursework in</w:t>
            </w:r>
          </w:p>
          <w:p w:rsidR="001F7867" w:rsidRPr="001F7867" w:rsidRDefault="001F7867" w:rsidP="001F7867">
            <w:pPr>
              <w:autoSpaceDE w:val="0"/>
              <w:autoSpaceDN w:val="0"/>
              <w:adjustRightInd w:val="0"/>
              <w:rPr>
                <w:rFonts w:cs="Arial"/>
                <w:b/>
                <w:sz w:val="20"/>
                <w:szCs w:val="20"/>
              </w:rPr>
            </w:pPr>
            <w:r w:rsidRPr="001F7867">
              <w:rPr>
                <w:rFonts w:cs="Arial"/>
                <w:b/>
                <w:sz w:val="20"/>
                <w:szCs w:val="20"/>
              </w:rPr>
              <w:t>the program. Registration will be blocked at the end of the second semester until a plan</w:t>
            </w:r>
          </w:p>
          <w:p w:rsidR="001F7867" w:rsidRPr="001F7867" w:rsidRDefault="001F7867" w:rsidP="001F7867">
            <w:pPr>
              <w:rPr>
                <w:rFonts w:cs="Arial"/>
                <w:b/>
                <w:sz w:val="20"/>
                <w:szCs w:val="20"/>
              </w:rPr>
            </w:pPr>
            <w:r w:rsidRPr="001F7867">
              <w:rPr>
                <w:rFonts w:cs="Arial"/>
                <w:b/>
                <w:sz w:val="20"/>
                <w:szCs w:val="20"/>
              </w:rPr>
              <w:t>of study has been submitted.”</w:t>
            </w:r>
          </w:p>
          <w:p w:rsidR="001F7867" w:rsidRPr="001F7867" w:rsidRDefault="001F7867" w:rsidP="001F7867">
            <w:pPr>
              <w:rPr>
                <w:rFonts w:cs="Arial"/>
                <w:b/>
                <w:sz w:val="20"/>
                <w:szCs w:val="20"/>
              </w:rPr>
            </w:pPr>
          </w:p>
          <w:p w:rsidR="001F7867" w:rsidRPr="001F7867" w:rsidRDefault="001F7867" w:rsidP="001F7867">
            <w:pPr>
              <w:rPr>
                <w:rFonts w:cs="Arial"/>
                <w:sz w:val="20"/>
                <w:szCs w:val="20"/>
              </w:rPr>
            </w:pPr>
            <w:r w:rsidRPr="001F7867">
              <w:rPr>
                <w:rFonts w:cs="Arial"/>
                <w:sz w:val="20"/>
                <w:szCs w:val="20"/>
              </w:rPr>
              <w:t>This hold will stop the student from register for their 3</w:t>
            </w:r>
            <w:r w:rsidRPr="001F7867">
              <w:rPr>
                <w:rFonts w:cs="Arial"/>
                <w:sz w:val="20"/>
                <w:szCs w:val="20"/>
                <w:vertAlign w:val="superscript"/>
              </w:rPr>
              <w:t>rd</w:t>
            </w:r>
            <w:r w:rsidRPr="001F7867">
              <w:rPr>
                <w:rFonts w:cs="Arial"/>
                <w:sz w:val="20"/>
                <w:szCs w:val="20"/>
              </w:rPr>
              <w:t xml:space="preserve"> semester.  For PHD students are being blocked from registering for their 5</w:t>
            </w:r>
            <w:r w:rsidRPr="001F7867">
              <w:rPr>
                <w:rFonts w:cs="Arial"/>
                <w:sz w:val="20"/>
                <w:szCs w:val="20"/>
                <w:vertAlign w:val="superscript"/>
              </w:rPr>
              <w:t>th</w:t>
            </w:r>
            <w:r w:rsidRPr="001F7867">
              <w:rPr>
                <w:rFonts w:cs="Arial"/>
                <w:sz w:val="20"/>
                <w:szCs w:val="20"/>
              </w:rPr>
              <w:t xml:space="preserve"> semester.</w:t>
            </w:r>
          </w:p>
          <w:p w:rsidR="001F7867" w:rsidRPr="001F7867" w:rsidRDefault="001F7867" w:rsidP="001F7867">
            <w:pPr>
              <w:rPr>
                <w:rFonts w:cs="Arial"/>
                <w:sz w:val="20"/>
                <w:szCs w:val="20"/>
              </w:rPr>
            </w:pPr>
          </w:p>
          <w:p w:rsidR="001F7867" w:rsidRPr="001F7867" w:rsidRDefault="001F7867" w:rsidP="001F7867">
            <w:pPr>
              <w:rPr>
                <w:rFonts w:cs="Arial"/>
                <w:sz w:val="20"/>
                <w:szCs w:val="20"/>
              </w:rPr>
            </w:pPr>
            <w:r w:rsidRPr="001F7867">
              <w:rPr>
                <w:rFonts w:cs="Arial"/>
                <w:sz w:val="20"/>
                <w:szCs w:val="20"/>
              </w:rPr>
              <w:t>Nancy Miller mentioned that all students are told this in their admission letter.  This raised the question of not having copies of admission letters sent to advisor.  Discussion of just sending an email to the advisor may suffice.  It was decided that the coordinators would go back and ask rest of the faculty in the program.</w:t>
            </w:r>
          </w:p>
          <w:p w:rsidR="001F7867" w:rsidRPr="001F7867" w:rsidRDefault="001F7867" w:rsidP="001F7867">
            <w:pPr>
              <w:rPr>
                <w:rFonts w:cs="Arial"/>
                <w:sz w:val="20"/>
                <w:szCs w:val="20"/>
              </w:rPr>
            </w:pPr>
          </w:p>
          <w:p w:rsidR="001F7867" w:rsidRPr="001F7867" w:rsidRDefault="001F7867" w:rsidP="001F7867">
            <w:pPr>
              <w:rPr>
                <w:rFonts w:cs="Arial"/>
                <w:sz w:val="20"/>
                <w:szCs w:val="20"/>
              </w:rPr>
            </w:pPr>
            <w:r w:rsidRPr="001F7867">
              <w:rPr>
                <w:rFonts w:cs="Arial"/>
                <w:sz w:val="20"/>
                <w:szCs w:val="20"/>
              </w:rPr>
              <w:t xml:space="preserve">Dr. Cowan brought up students withdrawing from program and how is that shown on Banner.  Banner shows these students as still active.  </w:t>
            </w:r>
            <w:r w:rsidRPr="001F7867">
              <w:rPr>
                <w:rFonts w:cs="Arial"/>
                <w:sz w:val="20"/>
                <w:szCs w:val="20"/>
              </w:rPr>
              <w:lastRenderedPageBreak/>
              <w:t>Nancy Miller had contacted the Registrar’s Office and talked to Betty Johnson who was willing to end the matriculation of 4 students who withdrew from their program.  Betty Johnson said this is not something the Registrar’s Office is willing to do all the time and that the students will just show as active.  Nancy Miller said this concerned her because the student could come back and just fill out a reenrollment form in order to get reactivated.  There is nowhere in Banner to indicate the student withdrew from the program.</w:t>
            </w:r>
          </w:p>
          <w:p w:rsidR="001F7867" w:rsidRPr="001F7867" w:rsidRDefault="001F7867" w:rsidP="001F7867">
            <w:pPr>
              <w:rPr>
                <w:sz w:val="20"/>
                <w:szCs w:val="20"/>
              </w:rPr>
            </w:pPr>
            <w:r w:rsidRPr="001F7867">
              <w:rPr>
                <w:rFonts w:cs="Arial"/>
                <w:sz w:val="20"/>
                <w:szCs w:val="20"/>
              </w:rPr>
              <w:t xml:space="preserve">Academic Dismissal – student may be dismissed with 3 C’s and they have the right to appeal to a committee of three.  Dean Barbour believes this process works well and would like to keep a committee of three.  It was agreed that the committee would consist of program coordinators only. </w:t>
            </w:r>
          </w:p>
        </w:tc>
        <w:tc>
          <w:tcPr>
            <w:tcW w:w="2178" w:type="dxa"/>
          </w:tcPr>
          <w:p w:rsidR="001F7867" w:rsidRPr="001F7867" w:rsidRDefault="001F7867" w:rsidP="00661B95">
            <w:pPr>
              <w:rPr>
                <w:sz w:val="20"/>
                <w:szCs w:val="20"/>
              </w:rPr>
            </w:pPr>
          </w:p>
        </w:tc>
      </w:tr>
    </w:tbl>
    <w:p w:rsidR="00661B95" w:rsidRPr="004874C9" w:rsidRDefault="00661B95" w:rsidP="00661B95">
      <w:pPr>
        <w:rPr>
          <w:sz w:val="20"/>
          <w:szCs w:val="20"/>
        </w:rPr>
      </w:pPr>
    </w:p>
    <w:p w:rsidR="00661B95" w:rsidRPr="004874C9" w:rsidRDefault="00661B95" w:rsidP="00661B95">
      <w:pPr>
        <w:rPr>
          <w:sz w:val="20"/>
          <w:szCs w:val="20"/>
        </w:rPr>
      </w:pPr>
      <w:r w:rsidRPr="004874C9">
        <w:rPr>
          <w:sz w:val="20"/>
          <w:szCs w:val="20"/>
        </w:rPr>
        <w:t>The meeting was adjourned at</w:t>
      </w:r>
      <w:r w:rsidR="00212469">
        <w:rPr>
          <w:sz w:val="20"/>
          <w:szCs w:val="20"/>
        </w:rPr>
        <w:t xml:space="preserve"> </w:t>
      </w:r>
    </w:p>
    <w:p w:rsidR="00661B95" w:rsidRPr="00436558" w:rsidRDefault="00661B95" w:rsidP="00661B95">
      <w:pPr>
        <w:rPr>
          <w:b/>
          <w:sz w:val="20"/>
          <w:szCs w:val="20"/>
        </w:rPr>
      </w:pPr>
      <w:r w:rsidRPr="004874C9">
        <w:rPr>
          <w:sz w:val="20"/>
          <w:szCs w:val="20"/>
        </w:rPr>
        <w:t>Next meeting:</w:t>
      </w:r>
      <w:r w:rsidR="0047209B" w:rsidRPr="004874C9">
        <w:rPr>
          <w:sz w:val="20"/>
          <w:szCs w:val="20"/>
        </w:rPr>
        <w:t xml:space="preserve">  </w:t>
      </w:r>
      <w:r w:rsidR="00436558" w:rsidRPr="00436558">
        <w:rPr>
          <w:b/>
          <w:sz w:val="20"/>
          <w:szCs w:val="20"/>
          <w:highlight w:val="yellow"/>
        </w:rPr>
        <w:t>Dec. 10</w:t>
      </w:r>
      <w:r w:rsidR="00436558" w:rsidRPr="00436558">
        <w:rPr>
          <w:b/>
          <w:sz w:val="20"/>
          <w:szCs w:val="20"/>
          <w:highlight w:val="yellow"/>
          <w:vertAlign w:val="superscript"/>
        </w:rPr>
        <w:t>th</w:t>
      </w:r>
      <w:r w:rsidR="00436558" w:rsidRPr="00436558">
        <w:rPr>
          <w:b/>
          <w:sz w:val="20"/>
          <w:szCs w:val="20"/>
          <w:highlight w:val="yellow"/>
        </w:rPr>
        <w:t>, 10 – 11:15 am, Rm 217</w:t>
      </w:r>
    </w:p>
    <w:p w:rsidR="00661B95" w:rsidRPr="004874C9" w:rsidRDefault="00661B95" w:rsidP="00661B95">
      <w:pPr>
        <w:rPr>
          <w:sz w:val="20"/>
          <w:szCs w:val="20"/>
        </w:rPr>
      </w:pPr>
    </w:p>
    <w:p w:rsidR="00661B95" w:rsidRPr="004874C9" w:rsidRDefault="00661B95" w:rsidP="00661B95">
      <w:pPr>
        <w:rPr>
          <w:sz w:val="20"/>
          <w:szCs w:val="20"/>
        </w:rPr>
      </w:pPr>
      <w:r w:rsidRPr="004874C9">
        <w:rPr>
          <w:sz w:val="20"/>
          <w:szCs w:val="20"/>
        </w:rPr>
        <w:t>Respectfully submitted</w:t>
      </w:r>
    </w:p>
    <w:p w:rsidR="00661B95" w:rsidRPr="004874C9" w:rsidRDefault="00436558" w:rsidP="00661B95">
      <w:pPr>
        <w:rPr>
          <w:sz w:val="20"/>
          <w:szCs w:val="20"/>
        </w:rPr>
      </w:pPr>
      <w:r>
        <w:rPr>
          <w:sz w:val="20"/>
          <w:szCs w:val="20"/>
        </w:rPr>
        <w:t>Nancy Miller</w:t>
      </w:r>
      <w:r w:rsidR="00661B95" w:rsidRPr="004874C9">
        <w:rPr>
          <w:sz w:val="20"/>
          <w:szCs w:val="20"/>
        </w:rPr>
        <w:t>, Recorder</w:t>
      </w:r>
    </w:p>
    <w:sectPr w:rsidR="00661B95" w:rsidRPr="004874C9"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C1"/>
    <w:multiLevelType w:val="hybridMultilevel"/>
    <w:tmpl w:val="A49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71EB1"/>
    <w:multiLevelType w:val="hybridMultilevel"/>
    <w:tmpl w:val="4426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1B95"/>
    <w:rsid w:val="00064E8B"/>
    <w:rsid w:val="00067D80"/>
    <w:rsid w:val="00086DFB"/>
    <w:rsid w:val="00140F74"/>
    <w:rsid w:val="00193B23"/>
    <w:rsid w:val="001A3063"/>
    <w:rsid w:val="001A48D5"/>
    <w:rsid w:val="001C66AB"/>
    <w:rsid w:val="001F7867"/>
    <w:rsid w:val="00212469"/>
    <w:rsid w:val="002451BA"/>
    <w:rsid w:val="00255743"/>
    <w:rsid w:val="002E017D"/>
    <w:rsid w:val="002E3637"/>
    <w:rsid w:val="003078BA"/>
    <w:rsid w:val="00322460"/>
    <w:rsid w:val="00361697"/>
    <w:rsid w:val="004002F1"/>
    <w:rsid w:val="004035E6"/>
    <w:rsid w:val="00424C32"/>
    <w:rsid w:val="00436558"/>
    <w:rsid w:val="0046307E"/>
    <w:rsid w:val="0047209B"/>
    <w:rsid w:val="004871D0"/>
    <w:rsid w:val="004874C9"/>
    <w:rsid w:val="00495414"/>
    <w:rsid w:val="004F4F20"/>
    <w:rsid w:val="00500404"/>
    <w:rsid w:val="00506F89"/>
    <w:rsid w:val="00546E33"/>
    <w:rsid w:val="0059197D"/>
    <w:rsid w:val="005D431B"/>
    <w:rsid w:val="00604489"/>
    <w:rsid w:val="00614B1D"/>
    <w:rsid w:val="00637442"/>
    <w:rsid w:val="006406E2"/>
    <w:rsid w:val="006563AE"/>
    <w:rsid w:val="00661B95"/>
    <w:rsid w:val="006655C2"/>
    <w:rsid w:val="006716EE"/>
    <w:rsid w:val="0068576F"/>
    <w:rsid w:val="007057C5"/>
    <w:rsid w:val="00762A58"/>
    <w:rsid w:val="00764738"/>
    <w:rsid w:val="00807E92"/>
    <w:rsid w:val="00816718"/>
    <w:rsid w:val="0087303E"/>
    <w:rsid w:val="008873E6"/>
    <w:rsid w:val="008E4281"/>
    <w:rsid w:val="008F51A9"/>
    <w:rsid w:val="00916F40"/>
    <w:rsid w:val="00946DD8"/>
    <w:rsid w:val="00960EED"/>
    <w:rsid w:val="009A18A0"/>
    <w:rsid w:val="009A708D"/>
    <w:rsid w:val="009B60C5"/>
    <w:rsid w:val="009D12C2"/>
    <w:rsid w:val="00A6063F"/>
    <w:rsid w:val="00A60820"/>
    <w:rsid w:val="00A95F46"/>
    <w:rsid w:val="00AE50BB"/>
    <w:rsid w:val="00B04D15"/>
    <w:rsid w:val="00B07EF8"/>
    <w:rsid w:val="00B223A2"/>
    <w:rsid w:val="00B3466A"/>
    <w:rsid w:val="00B60471"/>
    <w:rsid w:val="00BE0C94"/>
    <w:rsid w:val="00BE5441"/>
    <w:rsid w:val="00BF298B"/>
    <w:rsid w:val="00C84FAC"/>
    <w:rsid w:val="00CB2728"/>
    <w:rsid w:val="00CD19DA"/>
    <w:rsid w:val="00CD395C"/>
    <w:rsid w:val="00D67964"/>
    <w:rsid w:val="00D85BB1"/>
    <w:rsid w:val="00DC0354"/>
    <w:rsid w:val="00DC20AC"/>
    <w:rsid w:val="00E30577"/>
    <w:rsid w:val="00E445D7"/>
    <w:rsid w:val="00E60C1D"/>
    <w:rsid w:val="00E67E5D"/>
    <w:rsid w:val="00E83067"/>
    <w:rsid w:val="00E8484F"/>
    <w:rsid w:val="00EC5A7A"/>
    <w:rsid w:val="00EF4449"/>
    <w:rsid w:val="00F7248A"/>
    <w:rsid w:val="00F74B72"/>
    <w:rsid w:val="00FE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6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2010-11-24T21:04:00Z</dcterms:created>
  <dcterms:modified xsi:type="dcterms:W3CDTF">2010-11-24T21:04:00Z</dcterms:modified>
</cp:coreProperties>
</file>