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C2" w:rsidRDefault="00661B95" w:rsidP="00F407B1">
      <w:r w:rsidRPr="00661B95">
        <w:rPr>
          <w:noProof/>
        </w:rPr>
        <w:drawing>
          <wp:anchor distT="0" distB="0" distL="114300" distR="114300" simplePos="0" relativeHeight="251658240" behindDoc="0" locked="0" layoutInCell="1" allowOverlap="1">
            <wp:simplePos x="0" y="0"/>
            <wp:positionH relativeFrom="column">
              <wp:posOffset>2162175</wp:posOffset>
            </wp:positionH>
            <wp:positionV relativeFrom="paragraph">
              <wp:align>top</wp:align>
            </wp:positionV>
            <wp:extent cx="1953260" cy="600075"/>
            <wp:effectExtent l="1905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6000"/>
                    </a:blip>
                    <a:srcRect/>
                    <a:stretch>
                      <a:fillRect/>
                    </a:stretch>
                  </pic:blipFill>
                  <pic:spPr bwMode="auto">
                    <a:xfrm>
                      <a:off x="0" y="0"/>
                      <a:ext cx="1953260" cy="600075"/>
                    </a:xfrm>
                    <a:prstGeom prst="rect">
                      <a:avLst/>
                    </a:prstGeom>
                    <a:noFill/>
                    <a:ln w="9525">
                      <a:noFill/>
                      <a:miter lim="800000"/>
                      <a:headEnd/>
                      <a:tailEnd/>
                    </a:ln>
                  </pic:spPr>
                </pic:pic>
              </a:graphicData>
            </a:graphic>
          </wp:anchor>
        </w:drawing>
      </w:r>
      <w:r w:rsidR="00F407B1">
        <w:br w:type="textWrapping" w:clear="all"/>
      </w:r>
    </w:p>
    <w:p w:rsidR="00661B95" w:rsidRDefault="00661B95" w:rsidP="00661B95">
      <w:pPr>
        <w:jc w:val="center"/>
      </w:pPr>
    </w:p>
    <w:p w:rsidR="00661B95" w:rsidRPr="00002EEC" w:rsidRDefault="00661B95" w:rsidP="00661B95">
      <w:pPr>
        <w:tabs>
          <w:tab w:val="center" w:pos="3960"/>
        </w:tabs>
        <w:jc w:val="center"/>
        <w:rPr>
          <w:b/>
          <w:bCs/>
          <w:sz w:val="22"/>
        </w:rPr>
      </w:pPr>
      <w:r w:rsidRPr="00002EEC">
        <w:rPr>
          <w:b/>
          <w:bCs/>
          <w:sz w:val="22"/>
        </w:rPr>
        <w:t>COLLEGE OF EDUCATION</w:t>
      </w:r>
      <w:r>
        <w:rPr>
          <w:b/>
          <w:bCs/>
          <w:sz w:val="22"/>
        </w:rPr>
        <w:t>, HEALTH, AND HUMAN SERVICES</w:t>
      </w:r>
    </w:p>
    <w:p w:rsidR="00661B95" w:rsidRDefault="00661B95" w:rsidP="00661B95">
      <w:pPr>
        <w:jc w:val="center"/>
        <w:rPr>
          <w:sz w:val="22"/>
        </w:rPr>
      </w:pPr>
      <w:r w:rsidRPr="00002EEC">
        <w:rPr>
          <w:sz w:val="22"/>
        </w:rPr>
        <w:t>Office of the Associate Dean for Administrative Affairs and Graduate Education</w:t>
      </w:r>
    </w:p>
    <w:p w:rsidR="00732DCC" w:rsidRDefault="00732DCC" w:rsidP="00661B95">
      <w:pPr>
        <w:jc w:val="center"/>
        <w:rPr>
          <w:b/>
          <w:sz w:val="22"/>
        </w:rPr>
      </w:pPr>
    </w:p>
    <w:p w:rsidR="00661B95" w:rsidRPr="00C73A27" w:rsidRDefault="007057C5" w:rsidP="00661B95">
      <w:pPr>
        <w:jc w:val="center"/>
        <w:rPr>
          <w:b/>
          <w:sz w:val="22"/>
        </w:rPr>
      </w:pPr>
      <w:r w:rsidRPr="00C73A27">
        <w:rPr>
          <w:b/>
          <w:sz w:val="22"/>
        </w:rPr>
        <w:t>GRADUATE PROGRAM COORDINATORS MEETING</w:t>
      </w:r>
    </w:p>
    <w:p w:rsidR="00661B95" w:rsidRPr="00C73A27" w:rsidRDefault="00977A6A" w:rsidP="00661B95">
      <w:pPr>
        <w:jc w:val="center"/>
        <w:rPr>
          <w:b/>
          <w:sz w:val="22"/>
        </w:rPr>
      </w:pPr>
      <w:r>
        <w:rPr>
          <w:b/>
          <w:sz w:val="22"/>
        </w:rPr>
        <w:t>September 23, 2011</w:t>
      </w:r>
    </w:p>
    <w:p w:rsidR="00661B95" w:rsidRPr="00C73A27" w:rsidRDefault="00661B95" w:rsidP="00661B95">
      <w:pPr>
        <w:jc w:val="center"/>
      </w:pPr>
    </w:p>
    <w:p w:rsidR="00977A6A" w:rsidRPr="00BB3F7E" w:rsidRDefault="00977A6A" w:rsidP="00977A6A">
      <w:pPr>
        <w:rPr>
          <w:sz w:val="18"/>
          <w:szCs w:val="18"/>
        </w:rPr>
      </w:pPr>
      <w:r w:rsidRPr="00BB3F7E">
        <w:rPr>
          <w:sz w:val="18"/>
          <w:szCs w:val="18"/>
        </w:rPr>
        <w:t>MEMBERS ATTENDING: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1"/>
        <w:gridCol w:w="2505"/>
        <w:gridCol w:w="2580"/>
        <w:gridCol w:w="2572"/>
      </w:tblGrid>
      <w:tr w:rsidR="00977A6A" w:rsidRPr="00EC1F29" w:rsidTr="00D0518E">
        <w:trPr>
          <w:trHeight w:val="240"/>
        </w:trPr>
        <w:tc>
          <w:tcPr>
            <w:tcW w:w="2581" w:type="dxa"/>
          </w:tcPr>
          <w:p w:rsidR="00977A6A" w:rsidRPr="00EC1F29" w:rsidRDefault="00977A6A" w:rsidP="00977A6A">
            <w:pPr>
              <w:jc w:val="center"/>
              <w:rPr>
                <w:b/>
                <w:sz w:val="18"/>
                <w:szCs w:val="18"/>
              </w:rPr>
            </w:pPr>
            <w:r w:rsidRPr="00EC1F29">
              <w:rPr>
                <w:b/>
                <w:sz w:val="18"/>
                <w:szCs w:val="18"/>
              </w:rPr>
              <w:t>FLA</w:t>
            </w:r>
          </w:p>
        </w:tc>
        <w:tc>
          <w:tcPr>
            <w:tcW w:w="2505" w:type="dxa"/>
          </w:tcPr>
          <w:p w:rsidR="00977A6A" w:rsidRPr="00EC1F29" w:rsidRDefault="00977A6A" w:rsidP="00977A6A">
            <w:pPr>
              <w:jc w:val="center"/>
              <w:rPr>
                <w:b/>
                <w:sz w:val="18"/>
                <w:szCs w:val="18"/>
              </w:rPr>
            </w:pPr>
            <w:r w:rsidRPr="00EC1F29">
              <w:rPr>
                <w:b/>
                <w:sz w:val="18"/>
                <w:szCs w:val="18"/>
              </w:rPr>
              <w:t>HS</w:t>
            </w:r>
          </w:p>
        </w:tc>
        <w:tc>
          <w:tcPr>
            <w:tcW w:w="2580" w:type="dxa"/>
          </w:tcPr>
          <w:p w:rsidR="00977A6A" w:rsidRPr="00EC1F29" w:rsidRDefault="00977A6A" w:rsidP="00977A6A">
            <w:pPr>
              <w:jc w:val="center"/>
              <w:rPr>
                <w:b/>
                <w:sz w:val="18"/>
                <w:szCs w:val="18"/>
              </w:rPr>
            </w:pPr>
            <w:r w:rsidRPr="00EC1F29">
              <w:rPr>
                <w:b/>
                <w:sz w:val="18"/>
                <w:szCs w:val="18"/>
              </w:rPr>
              <w:t>LDES</w:t>
            </w:r>
          </w:p>
        </w:tc>
        <w:tc>
          <w:tcPr>
            <w:tcW w:w="2572" w:type="dxa"/>
          </w:tcPr>
          <w:p w:rsidR="00977A6A" w:rsidRPr="00EC1F29" w:rsidRDefault="00977A6A" w:rsidP="00977A6A">
            <w:pPr>
              <w:jc w:val="center"/>
              <w:rPr>
                <w:b/>
                <w:sz w:val="18"/>
                <w:szCs w:val="18"/>
              </w:rPr>
            </w:pPr>
            <w:r w:rsidRPr="00EC1F29">
              <w:rPr>
                <w:b/>
                <w:sz w:val="18"/>
                <w:szCs w:val="18"/>
              </w:rPr>
              <w:t>TLC</w:t>
            </w:r>
          </w:p>
        </w:tc>
      </w:tr>
      <w:tr w:rsidR="00D0518E" w:rsidRPr="00EC1F29" w:rsidTr="00D0518E">
        <w:trPr>
          <w:trHeight w:val="287"/>
        </w:trPr>
        <w:tc>
          <w:tcPr>
            <w:tcW w:w="2581" w:type="dxa"/>
            <w:shd w:val="clear" w:color="auto" w:fill="auto"/>
          </w:tcPr>
          <w:p w:rsidR="00D0518E" w:rsidRPr="00EC1F29" w:rsidRDefault="00D0518E" w:rsidP="00977A6A">
            <w:pPr>
              <w:rPr>
                <w:sz w:val="18"/>
                <w:szCs w:val="18"/>
              </w:rPr>
            </w:pPr>
            <w:r w:rsidRPr="00EC1F29">
              <w:rPr>
                <w:sz w:val="18"/>
                <w:szCs w:val="18"/>
              </w:rPr>
              <w:t>Hackney, Cathy</w:t>
            </w:r>
          </w:p>
        </w:tc>
        <w:tc>
          <w:tcPr>
            <w:tcW w:w="2505" w:type="dxa"/>
            <w:shd w:val="clear" w:color="auto" w:fill="auto"/>
          </w:tcPr>
          <w:p w:rsidR="00D0518E" w:rsidRPr="00EC1F29" w:rsidRDefault="00D0518E" w:rsidP="007F7126">
            <w:pPr>
              <w:rPr>
                <w:sz w:val="18"/>
                <w:szCs w:val="18"/>
              </w:rPr>
            </w:pPr>
            <w:r w:rsidRPr="00EC1F29">
              <w:rPr>
                <w:sz w:val="18"/>
                <w:szCs w:val="18"/>
              </w:rPr>
              <w:t>Glickman, Ellen</w:t>
            </w:r>
          </w:p>
        </w:tc>
        <w:tc>
          <w:tcPr>
            <w:tcW w:w="2580" w:type="dxa"/>
            <w:shd w:val="clear" w:color="auto" w:fill="auto"/>
          </w:tcPr>
          <w:p w:rsidR="00D0518E" w:rsidRPr="00EC1F29" w:rsidRDefault="00D0518E" w:rsidP="00977A6A">
            <w:pPr>
              <w:rPr>
                <w:sz w:val="18"/>
                <w:szCs w:val="18"/>
              </w:rPr>
            </w:pPr>
            <w:r w:rsidRPr="00EC1F29">
              <w:rPr>
                <w:sz w:val="18"/>
                <w:szCs w:val="18"/>
              </w:rPr>
              <w:t>Barton, Lyle</w:t>
            </w:r>
          </w:p>
        </w:tc>
        <w:tc>
          <w:tcPr>
            <w:tcW w:w="2572" w:type="dxa"/>
            <w:shd w:val="clear" w:color="auto" w:fill="auto"/>
          </w:tcPr>
          <w:p w:rsidR="00D0518E" w:rsidRPr="00EC1F29" w:rsidRDefault="00D0518E" w:rsidP="00977A6A">
            <w:pPr>
              <w:rPr>
                <w:sz w:val="18"/>
                <w:szCs w:val="18"/>
              </w:rPr>
            </w:pPr>
            <w:r w:rsidRPr="00EC1F29">
              <w:rPr>
                <w:sz w:val="18"/>
                <w:szCs w:val="18"/>
              </w:rPr>
              <w:t>Brooks, Bette</w:t>
            </w:r>
          </w:p>
        </w:tc>
      </w:tr>
      <w:tr w:rsidR="00D0518E" w:rsidRPr="00EC1F29" w:rsidTr="00D0518E">
        <w:trPr>
          <w:trHeight w:val="258"/>
        </w:trPr>
        <w:tc>
          <w:tcPr>
            <w:tcW w:w="2581" w:type="dxa"/>
            <w:shd w:val="clear" w:color="auto" w:fill="auto"/>
          </w:tcPr>
          <w:p w:rsidR="00D0518E" w:rsidRPr="00EC1F29" w:rsidRDefault="00D0518E" w:rsidP="00977A6A">
            <w:pPr>
              <w:rPr>
                <w:sz w:val="18"/>
                <w:szCs w:val="18"/>
              </w:rPr>
            </w:pPr>
            <w:r w:rsidRPr="00EC1F29">
              <w:rPr>
                <w:sz w:val="18"/>
                <w:szCs w:val="18"/>
              </w:rPr>
              <w:t>Kretovics, Mark</w:t>
            </w:r>
          </w:p>
        </w:tc>
        <w:tc>
          <w:tcPr>
            <w:tcW w:w="2505" w:type="dxa"/>
            <w:shd w:val="clear" w:color="auto" w:fill="auto"/>
          </w:tcPr>
          <w:p w:rsidR="00D0518E" w:rsidRPr="00EC1F29" w:rsidRDefault="00D0518E" w:rsidP="007F7126">
            <w:pPr>
              <w:rPr>
                <w:sz w:val="18"/>
                <w:szCs w:val="18"/>
              </w:rPr>
            </w:pPr>
            <w:r w:rsidRPr="00EC1F29">
              <w:rPr>
                <w:sz w:val="18"/>
                <w:szCs w:val="18"/>
              </w:rPr>
              <w:t>Gordon, Karen</w:t>
            </w:r>
          </w:p>
        </w:tc>
        <w:tc>
          <w:tcPr>
            <w:tcW w:w="2580" w:type="dxa"/>
            <w:shd w:val="clear" w:color="auto" w:fill="auto"/>
          </w:tcPr>
          <w:p w:rsidR="00D0518E" w:rsidRPr="00EC1F29" w:rsidRDefault="00D0518E" w:rsidP="00977A6A">
            <w:pPr>
              <w:rPr>
                <w:sz w:val="18"/>
                <w:szCs w:val="18"/>
              </w:rPr>
            </w:pPr>
            <w:r w:rsidRPr="00EC1F29">
              <w:rPr>
                <w:sz w:val="18"/>
                <w:szCs w:val="18"/>
              </w:rPr>
              <w:t>Cowan, Richard</w:t>
            </w:r>
          </w:p>
        </w:tc>
        <w:tc>
          <w:tcPr>
            <w:tcW w:w="2572" w:type="dxa"/>
            <w:shd w:val="clear" w:color="auto" w:fill="auto"/>
          </w:tcPr>
          <w:p w:rsidR="00D0518E" w:rsidRPr="00EC1F29" w:rsidRDefault="00D0518E" w:rsidP="00977A6A">
            <w:pPr>
              <w:rPr>
                <w:sz w:val="18"/>
                <w:szCs w:val="18"/>
              </w:rPr>
            </w:pPr>
            <w:r w:rsidRPr="00EC1F29">
              <w:rPr>
                <w:sz w:val="18"/>
                <w:szCs w:val="18"/>
              </w:rPr>
              <w:t>Collier, Connie</w:t>
            </w:r>
          </w:p>
        </w:tc>
      </w:tr>
      <w:tr w:rsidR="00D0518E" w:rsidRPr="00EC1F29" w:rsidTr="00D0518E">
        <w:trPr>
          <w:trHeight w:val="258"/>
        </w:trPr>
        <w:tc>
          <w:tcPr>
            <w:tcW w:w="2581" w:type="dxa"/>
            <w:shd w:val="clear" w:color="auto" w:fill="auto"/>
          </w:tcPr>
          <w:p w:rsidR="00D0518E" w:rsidRPr="00EC1F29" w:rsidRDefault="00D0518E" w:rsidP="007F7126">
            <w:pPr>
              <w:rPr>
                <w:sz w:val="18"/>
                <w:szCs w:val="18"/>
              </w:rPr>
            </w:pPr>
            <w:r w:rsidRPr="00EC1F29">
              <w:rPr>
                <w:sz w:val="18"/>
                <w:szCs w:val="18"/>
              </w:rPr>
              <w:t>McClelland, Averil</w:t>
            </w:r>
          </w:p>
        </w:tc>
        <w:tc>
          <w:tcPr>
            <w:tcW w:w="2505" w:type="dxa"/>
            <w:shd w:val="clear" w:color="auto" w:fill="auto"/>
          </w:tcPr>
          <w:p w:rsidR="00D0518E" w:rsidRPr="00EC1F29" w:rsidRDefault="00D0518E" w:rsidP="007F7126">
            <w:pPr>
              <w:rPr>
                <w:sz w:val="18"/>
                <w:szCs w:val="18"/>
              </w:rPr>
            </w:pPr>
            <w:r>
              <w:rPr>
                <w:sz w:val="18"/>
                <w:szCs w:val="18"/>
              </w:rPr>
              <w:t>Jonas, Jay</w:t>
            </w:r>
          </w:p>
        </w:tc>
        <w:tc>
          <w:tcPr>
            <w:tcW w:w="2580" w:type="dxa"/>
            <w:shd w:val="clear" w:color="auto" w:fill="auto"/>
          </w:tcPr>
          <w:p w:rsidR="00D0518E" w:rsidRPr="00EC1F29" w:rsidRDefault="00D0518E" w:rsidP="00977A6A">
            <w:pPr>
              <w:rPr>
                <w:sz w:val="18"/>
                <w:szCs w:val="18"/>
              </w:rPr>
            </w:pPr>
            <w:r>
              <w:rPr>
                <w:sz w:val="18"/>
                <w:szCs w:val="18"/>
              </w:rPr>
              <w:t>Cox, Jane</w:t>
            </w:r>
          </w:p>
        </w:tc>
        <w:tc>
          <w:tcPr>
            <w:tcW w:w="2572" w:type="dxa"/>
            <w:shd w:val="clear" w:color="auto" w:fill="auto"/>
          </w:tcPr>
          <w:p w:rsidR="00D0518E" w:rsidRPr="00EC1F29" w:rsidRDefault="00D0518E" w:rsidP="00977A6A">
            <w:pPr>
              <w:rPr>
                <w:sz w:val="18"/>
                <w:szCs w:val="18"/>
              </w:rPr>
            </w:pPr>
            <w:r w:rsidRPr="00EC1F29">
              <w:rPr>
                <w:sz w:val="18"/>
                <w:szCs w:val="18"/>
              </w:rPr>
              <w:t>Hutchison, Janice</w:t>
            </w:r>
          </w:p>
        </w:tc>
      </w:tr>
      <w:tr w:rsidR="00D0518E" w:rsidRPr="00EC1F29" w:rsidTr="00D0518E">
        <w:trPr>
          <w:trHeight w:val="258"/>
        </w:trPr>
        <w:tc>
          <w:tcPr>
            <w:tcW w:w="2581" w:type="dxa"/>
            <w:shd w:val="clear" w:color="auto" w:fill="auto"/>
          </w:tcPr>
          <w:p w:rsidR="00D0518E" w:rsidRPr="00EC1F29" w:rsidRDefault="00D0518E" w:rsidP="007F7126">
            <w:pPr>
              <w:rPr>
                <w:sz w:val="18"/>
                <w:szCs w:val="18"/>
              </w:rPr>
            </w:pPr>
            <w:r w:rsidRPr="00EC1F29">
              <w:rPr>
                <w:sz w:val="18"/>
                <w:szCs w:val="18"/>
              </w:rPr>
              <w:t>Niesz, Tricia</w:t>
            </w:r>
          </w:p>
        </w:tc>
        <w:tc>
          <w:tcPr>
            <w:tcW w:w="2505" w:type="dxa"/>
            <w:shd w:val="clear" w:color="auto" w:fill="auto"/>
          </w:tcPr>
          <w:p w:rsidR="00D0518E" w:rsidRPr="00EC1F29" w:rsidRDefault="00D0518E" w:rsidP="00977A6A">
            <w:pPr>
              <w:rPr>
                <w:sz w:val="18"/>
                <w:szCs w:val="18"/>
              </w:rPr>
            </w:pPr>
          </w:p>
        </w:tc>
        <w:tc>
          <w:tcPr>
            <w:tcW w:w="2580" w:type="dxa"/>
            <w:shd w:val="clear" w:color="auto" w:fill="auto"/>
          </w:tcPr>
          <w:p w:rsidR="00D0518E" w:rsidRPr="00EC1F29" w:rsidRDefault="00D0518E" w:rsidP="00977A6A">
            <w:pPr>
              <w:rPr>
                <w:sz w:val="18"/>
                <w:szCs w:val="18"/>
              </w:rPr>
            </w:pPr>
            <w:r w:rsidRPr="00EC1F29">
              <w:rPr>
                <w:sz w:val="18"/>
                <w:szCs w:val="18"/>
              </w:rPr>
              <w:t>Richardson, Rhonda</w:t>
            </w:r>
          </w:p>
        </w:tc>
        <w:tc>
          <w:tcPr>
            <w:tcW w:w="2572" w:type="dxa"/>
            <w:shd w:val="clear" w:color="auto" w:fill="auto"/>
          </w:tcPr>
          <w:p w:rsidR="00D0518E" w:rsidRPr="00EC1F29" w:rsidRDefault="00D0518E" w:rsidP="00977A6A">
            <w:pPr>
              <w:rPr>
                <w:sz w:val="18"/>
                <w:szCs w:val="18"/>
              </w:rPr>
            </w:pPr>
            <w:r w:rsidRPr="00EC1F29">
              <w:rPr>
                <w:sz w:val="18"/>
                <w:szCs w:val="18"/>
              </w:rPr>
              <w:t>Morgan, Denise</w:t>
            </w:r>
          </w:p>
        </w:tc>
      </w:tr>
      <w:tr w:rsidR="00D0518E" w:rsidRPr="00EC1F29" w:rsidTr="00D0518E">
        <w:trPr>
          <w:trHeight w:val="240"/>
        </w:trPr>
        <w:tc>
          <w:tcPr>
            <w:tcW w:w="2581" w:type="dxa"/>
            <w:shd w:val="clear" w:color="auto" w:fill="auto"/>
          </w:tcPr>
          <w:p w:rsidR="00D0518E" w:rsidRPr="00EC1F29" w:rsidRDefault="00D0518E" w:rsidP="007F7126">
            <w:pPr>
              <w:rPr>
                <w:sz w:val="18"/>
                <w:szCs w:val="18"/>
              </w:rPr>
            </w:pPr>
            <w:r w:rsidRPr="00EC1F29">
              <w:rPr>
                <w:sz w:val="18"/>
                <w:szCs w:val="18"/>
              </w:rPr>
              <w:t>Scheule, Barb</w:t>
            </w:r>
          </w:p>
        </w:tc>
        <w:tc>
          <w:tcPr>
            <w:tcW w:w="2505" w:type="dxa"/>
            <w:shd w:val="clear" w:color="auto" w:fill="auto"/>
          </w:tcPr>
          <w:p w:rsidR="00D0518E" w:rsidRPr="00EC1F29" w:rsidRDefault="00D0518E" w:rsidP="00977A6A">
            <w:pPr>
              <w:rPr>
                <w:sz w:val="18"/>
                <w:szCs w:val="18"/>
              </w:rPr>
            </w:pPr>
          </w:p>
        </w:tc>
        <w:tc>
          <w:tcPr>
            <w:tcW w:w="2580" w:type="dxa"/>
            <w:shd w:val="clear" w:color="auto" w:fill="auto"/>
          </w:tcPr>
          <w:p w:rsidR="00D0518E" w:rsidRPr="00EC1F29" w:rsidRDefault="00D0518E" w:rsidP="00977A6A">
            <w:pPr>
              <w:rPr>
                <w:sz w:val="18"/>
                <w:szCs w:val="18"/>
              </w:rPr>
            </w:pPr>
            <w:r w:rsidRPr="00EC1F29">
              <w:rPr>
                <w:sz w:val="18"/>
                <w:szCs w:val="18"/>
              </w:rPr>
              <w:t>Tiene, Drew</w:t>
            </w:r>
          </w:p>
        </w:tc>
        <w:tc>
          <w:tcPr>
            <w:tcW w:w="2572" w:type="dxa"/>
            <w:shd w:val="clear" w:color="auto" w:fill="auto"/>
          </w:tcPr>
          <w:p w:rsidR="00D0518E" w:rsidRPr="00EC1F29" w:rsidRDefault="00431E04" w:rsidP="00977A6A">
            <w:pPr>
              <w:rPr>
                <w:sz w:val="18"/>
                <w:szCs w:val="18"/>
              </w:rPr>
            </w:pPr>
            <w:r w:rsidRPr="00EC1F29">
              <w:rPr>
                <w:sz w:val="18"/>
                <w:szCs w:val="18"/>
              </w:rPr>
              <w:t>Henderson, Jim</w:t>
            </w:r>
          </w:p>
        </w:tc>
      </w:tr>
    </w:tbl>
    <w:p w:rsidR="00977A6A" w:rsidRPr="00BB3F7E" w:rsidRDefault="00977A6A" w:rsidP="00977A6A">
      <w:pPr>
        <w:rPr>
          <w:sz w:val="18"/>
          <w:szCs w:val="18"/>
        </w:rPr>
      </w:pPr>
      <w:r w:rsidRPr="00BB3F7E">
        <w:rPr>
          <w:sz w:val="18"/>
          <w:szCs w:val="18"/>
        </w:rPr>
        <w:t xml:space="preserve">Nancy Barbour, Admin. Affairs; Nancy Miller, OGSS; </w:t>
      </w:r>
      <w:r w:rsidR="00D0518E">
        <w:rPr>
          <w:sz w:val="18"/>
          <w:szCs w:val="18"/>
        </w:rPr>
        <w:t>Hilda Pettit</w:t>
      </w:r>
      <w:r>
        <w:rPr>
          <w:sz w:val="18"/>
          <w:szCs w:val="18"/>
        </w:rPr>
        <w:t>, Recorder</w:t>
      </w:r>
    </w:p>
    <w:p w:rsidR="00977A6A" w:rsidRPr="00BB3F7E" w:rsidRDefault="00977A6A" w:rsidP="00977A6A">
      <w:pPr>
        <w:rPr>
          <w:sz w:val="18"/>
          <w:szCs w:val="18"/>
        </w:rPr>
      </w:pPr>
    </w:p>
    <w:p w:rsidR="00977A6A" w:rsidRPr="00BB3F7E" w:rsidRDefault="00977A6A" w:rsidP="00977A6A">
      <w:pPr>
        <w:rPr>
          <w:sz w:val="18"/>
          <w:szCs w:val="18"/>
        </w:rPr>
      </w:pPr>
      <w:r w:rsidRPr="00BB3F7E">
        <w:rPr>
          <w:sz w:val="18"/>
          <w:szCs w:val="18"/>
        </w:rPr>
        <w:t>MEMBERS ABSENT: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4"/>
        <w:gridCol w:w="2574"/>
        <w:gridCol w:w="2574"/>
        <w:gridCol w:w="2574"/>
      </w:tblGrid>
      <w:tr w:rsidR="00977A6A" w:rsidRPr="00EC1F29" w:rsidTr="00977A6A">
        <w:tc>
          <w:tcPr>
            <w:tcW w:w="2574" w:type="dxa"/>
          </w:tcPr>
          <w:p w:rsidR="00977A6A" w:rsidRPr="00EC1F29" w:rsidRDefault="00977A6A" w:rsidP="00977A6A">
            <w:pPr>
              <w:jc w:val="center"/>
              <w:rPr>
                <w:b/>
                <w:sz w:val="18"/>
                <w:szCs w:val="18"/>
              </w:rPr>
            </w:pPr>
            <w:r w:rsidRPr="00EC1F29">
              <w:rPr>
                <w:b/>
                <w:sz w:val="18"/>
                <w:szCs w:val="18"/>
              </w:rPr>
              <w:t>FLA</w:t>
            </w:r>
          </w:p>
        </w:tc>
        <w:tc>
          <w:tcPr>
            <w:tcW w:w="2574" w:type="dxa"/>
          </w:tcPr>
          <w:p w:rsidR="00977A6A" w:rsidRPr="00EC1F29" w:rsidRDefault="00977A6A" w:rsidP="00977A6A">
            <w:pPr>
              <w:jc w:val="center"/>
              <w:rPr>
                <w:b/>
                <w:sz w:val="18"/>
                <w:szCs w:val="18"/>
              </w:rPr>
            </w:pPr>
            <w:r w:rsidRPr="00EC1F29">
              <w:rPr>
                <w:b/>
                <w:sz w:val="18"/>
                <w:szCs w:val="18"/>
              </w:rPr>
              <w:t>HS</w:t>
            </w:r>
          </w:p>
        </w:tc>
        <w:tc>
          <w:tcPr>
            <w:tcW w:w="2574" w:type="dxa"/>
          </w:tcPr>
          <w:p w:rsidR="00977A6A" w:rsidRPr="00EC1F29" w:rsidRDefault="00977A6A" w:rsidP="00977A6A">
            <w:pPr>
              <w:jc w:val="center"/>
              <w:rPr>
                <w:b/>
                <w:sz w:val="18"/>
                <w:szCs w:val="18"/>
              </w:rPr>
            </w:pPr>
            <w:r w:rsidRPr="00EC1F29">
              <w:rPr>
                <w:b/>
                <w:sz w:val="18"/>
                <w:szCs w:val="18"/>
              </w:rPr>
              <w:t>LDES</w:t>
            </w:r>
          </w:p>
        </w:tc>
        <w:tc>
          <w:tcPr>
            <w:tcW w:w="2574" w:type="dxa"/>
          </w:tcPr>
          <w:p w:rsidR="00977A6A" w:rsidRPr="00EC1F29" w:rsidRDefault="00977A6A" w:rsidP="00977A6A">
            <w:pPr>
              <w:jc w:val="center"/>
              <w:rPr>
                <w:b/>
                <w:sz w:val="18"/>
                <w:szCs w:val="18"/>
              </w:rPr>
            </w:pPr>
            <w:r w:rsidRPr="00EC1F29">
              <w:rPr>
                <w:b/>
                <w:sz w:val="18"/>
                <w:szCs w:val="18"/>
              </w:rPr>
              <w:t>TLC</w:t>
            </w:r>
          </w:p>
        </w:tc>
      </w:tr>
      <w:tr w:rsidR="00977A6A" w:rsidRPr="00EC1F29" w:rsidTr="00977A6A">
        <w:trPr>
          <w:trHeight w:val="233"/>
        </w:trPr>
        <w:tc>
          <w:tcPr>
            <w:tcW w:w="2574" w:type="dxa"/>
          </w:tcPr>
          <w:p w:rsidR="00977A6A" w:rsidRPr="00EC1F29" w:rsidRDefault="00D0518E" w:rsidP="00977A6A">
            <w:pPr>
              <w:rPr>
                <w:sz w:val="18"/>
                <w:szCs w:val="18"/>
              </w:rPr>
            </w:pPr>
            <w:r w:rsidRPr="00EC1F29">
              <w:rPr>
                <w:sz w:val="18"/>
                <w:szCs w:val="18"/>
              </w:rPr>
              <w:t>Lyberger, Mark</w:t>
            </w:r>
          </w:p>
        </w:tc>
        <w:tc>
          <w:tcPr>
            <w:tcW w:w="2574" w:type="dxa"/>
          </w:tcPr>
          <w:p w:rsidR="00977A6A" w:rsidRPr="00EC1F29" w:rsidRDefault="00D0518E" w:rsidP="00977A6A">
            <w:pPr>
              <w:rPr>
                <w:sz w:val="18"/>
                <w:szCs w:val="18"/>
              </w:rPr>
            </w:pPr>
            <w:r w:rsidRPr="00EC1F29">
              <w:rPr>
                <w:sz w:val="18"/>
                <w:szCs w:val="18"/>
              </w:rPr>
              <w:t>Burzminski, Nancy</w:t>
            </w:r>
          </w:p>
        </w:tc>
        <w:tc>
          <w:tcPr>
            <w:tcW w:w="2574" w:type="dxa"/>
          </w:tcPr>
          <w:p w:rsidR="00977A6A" w:rsidRPr="00EC1F29" w:rsidRDefault="00D0518E" w:rsidP="00977A6A">
            <w:pPr>
              <w:rPr>
                <w:sz w:val="18"/>
                <w:szCs w:val="18"/>
              </w:rPr>
            </w:pPr>
            <w:r w:rsidRPr="00EC1F29">
              <w:rPr>
                <w:sz w:val="18"/>
                <w:szCs w:val="18"/>
              </w:rPr>
              <w:t>McGlothlin, Jason</w:t>
            </w:r>
          </w:p>
        </w:tc>
        <w:tc>
          <w:tcPr>
            <w:tcW w:w="2574" w:type="dxa"/>
          </w:tcPr>
          <w:p w:rsidR="00977A6A" w:rsidRPr="00EC1F29" w:rsidRDefault="00431E04" w:rsidP="00977A6A">
            <w:pPr>
              <w:rPr>
                <w:sz w:val="18"/>
                <w:szCs w:val="18"/>
              </w:rPr>
            </w:pPr>
            <w:r w:rsidRPr="00EC1F29">
              <w:rPr>
                <w:sz w:val="18"/>
                <w:szCs w:val="18"/>
              </w:rPr>
              <w:t>Kroeger, Janice</w:t>
            </w:r>
          </w:p>
        </w:tc>
      </w:tr>
      <w:tr w:rsidR="00431E04" w:rsidRPr="00EC1F29" w:rsidTr="00977A6A">
        <w:tc>
          <w:tcPr>
            <w:tcW w:w="2574" w:type="dxa"/>
          </w:tcPr>
          <w:p w:rsidR="00431E04" w:rsidRPr="00EC1F29" w:rsidRDefault="00431E04" w:rsidP="00977A6A">
            <w:pPr>
              <w:rPr>
                <w:sz w:val="18"/>
                <w:szCs w:val="18"/>
              </w:rPr>
            </w:pPr>
          </w:p>
        </w:tc>
        <w:tc>
          <w:tcPr>
            <w:tcW w:w="2574" w:type="dxa"/>
          </w:tcPr>
          <w:p w:rsidR="00431E04" w:rsidRPr="00EC1F29" w:rsidRDefault="00431E04" w:rsidP="00977A6A">
            <w:pPr>
              <w:rPr>
                <w:sz w:val="18"/>
                <w:szCs w:val="18"/>
              </w:rPr>
            </w:pPr>
            <w:r>
              <w:rPr>
                <w:sz w:val="18"/>
                <w:szCs w:val="18"/>
              </w:rPr>
              <w:t>Ding, Kele</w:t>
            </w:r>
          </w:p>
        </w:tc>
        <w:tc>
          <w:tcPr>
            <w:tcW w:w="2574" w:type="dxa"/>
          </w:tcPr>
          <w:p w:rsidR="00431E04" w:rsidRPr="00EC1F29" w:rsidRDefault="00431E04" w:rsidP="00977A6A">
            <w:pPr>
              <w:rPr>
                <w:sz w:val="18"/>
                <w:szCs w:val="18"/>
              </w:rPr>
            </w:pPr>
            <w:r w:rsidRPr="00EC1F29">
              <w:rPr>
                <w:sz w:val="18"/>
                <w:szCs w:val="18"/>
              </w:rPr>
              <w:t>Rumrill, Phil</w:t>
            </w:r>
          </w:p>
        </w:tc>
        <w:tc>
          <w:tcPr>
            <w:tcW w:w="2574" w:type="dxa"/>
          </w:tcPr>
          <w:p w:rsidR="00431E04" w:rsidRPr="00EC1F29" w:rsidRDefault="00431E04" w:rsidP="00572BD8">
            <w:pPr>
              <w:rPr>
                <w:sz w:val="18"/>
                <w:szCs w:val="18"/>
              </w:rPr>
            </w:pPr>
            <w:r w:rsidRPr="00EC1F29">
              <w:rPr>
                <w:sz w:val="18"/>
                <w:szCs w:val="18"/>
              </w:rPr>
              <w:t>O’Connor, Pat</w:t>
            </w:r>
          </w:p>
        </w:tc>
      </w:tr>
      <w:tr w:rsidR="00431E04" w:rsidRPr="00EC1F29" w:rsidTr="00977A6A">
        <w:tc>
          <w:tcPr>
            <w:tcW w:w="2574" w:type="dxa"/>
          </w:tcPr>
          <w:p w:rsidR="00431E04" w:rsidRPr="00EC1F29" w:rsidRDefault="00431E04" w:rsidP="00977A6A">
            <w:pPr>
              <w:rPr>
                <w:sz w:val="18"/>
                <w:szCs w:val="18"/>
              </w:rPr>
            </w:pPr>
          </w:p>
        </w:tc>
        <w:tc>
          <w:tcPr>
            <w:tcW w:w="2574" w:type="dxa"/>
          </w:tcPr>
          <w:p w:rsidR="00431E04" w:rsidRPr="00EC1F29" w:rsidRDefault="00431E04" w:rsidP="00977A6A">
            <w:pPr>
              <w:rPr>
                <w:sz w:val="18"/>
                <w:szCs w:val="18"/>
              </w:rPr>
            </w:pPr>
            <w:r w:rsidRPr="00EC1F29">
              <w:rPr>
                <w:sz w:val="18"/>
                <w:szCs w:val="18"/>
              </w:rPr>
              <w:t>Hawks, John</w:t>
            </w:r>
          </w:p>
        </w:tc>
        <w:tc>
          <w:tcPr>
            <w:tcW w:w="2574" w:type="dxa"/>
          </w:tcPr>
          <w:p w:rsidR="00431E04" w:rsidRPr="00EC1F29" w:rsidRDefault="00431E04" w:rsidP="00977A6A">
            <w:pPr>
              <w:rPr>
                <w:sz w:val="18"/>
                <w:szCs w:val="18"/>
              </w:rPr>
            </w:pPr>
          </w:p>
        </w:tc>
        <w:tc>
          <w:tcPr>
            <w:tcW w:w="2574" w:type="dxa"/>
          </w:tcPr>
          <w:p w:rsidR="00431E04" w:rsidRPr="00EC1F29" w:rsidRDefault="00431E04" w:rsidP="00977A6A">
            <w:pPr>
              <w:rPr>
                <w:sz w:val="18"/>
                <w:szCs w:val="18"/>
              </w:rPr>
            </w:pPr>
          </w:p>
        </w:tc>
      </w:tr>
    </w:tbl>
    <w:p w:rsidR="00977A6A" w:rsidRPr="00BB3F7E" w:rsidRDefault="00977A6A" w:rsidP="00977A6A">
      <w:pPr>
        <w:rPr>
          <w:sz w:val="18"/>
          <w:szCs w:val="18"/>
        </w:rPr>
      </w:pPr>
      <w:r w:rsidRPr="00BB3F7E">
        <w:rPr>
          <w:sz w:val="18"/>
          <w:szCs w:val="18"/>
        </w:rPr>
        <w:t>GUESTS:</w:t>
      </w:r>
      <w:r w:rsidR="00D0518E">
        <w:rPr>
          <w:sz w:val="18"/>
          <w:szCs w:val="18"/>
        </w:rPr>
        <w:t xml:space="preserve">  Rachel Foot, Doctoral Student; Susan Augustine, Curriculum Specialist</w:t>
      </w:r>
    </w:p>
    <w:p w:rsidR="00661B95" w:rsidRPr="00977A6A" w:rsidRDefault="00661B95" w:rsidP="00661B95">
      <w:pPr>
        <w:rPr>
          <w:sz w:val="22"/>
        </w:rPr>
      </w:pPr>
    </w:p>
    <w:tbl>
      <w:tblPr>
        <w:tblStyle w:val="TableGrid"/>
        <w:tblW w:w="0" w:type="auto"/>
        <w:tblLook w:val="04A0"/>
      </w:tblPr>
      <w:tblGrid>
        <w:gridCol w:w="2178"/>
        <w:gridCol w:w="5940"/>
        <w:gridCol w:w="2178"/>
      </w:tblGrid>
      <w:tr w:rsidR="00661B95" w:rsidRPr="00977A6A" w:rsidTr="00661B95">
        <w:tc>
          <w:tcPr>
            <w:tcW w:w="2178" w:type="dxa"/>
          </w:tcPr>
          <w:p w:rsidR="00661B95" w:rsidRPr="00977A6A" w:rsidRDefault="00661B95" w:rsidP="00661B95">
            <w:pPr>
              <w:rPr>
                <w:b/>
                <w:sz w:val="22"/>
              </w:rPr>
            </w:pPr>
            <w:r w:rsidRPr="00977A6A">
              <w:rPr>
                <w:b/>
                <w:sz w:val="22"/>
              </w:rPr>
              <w:t>AGENDA ITEM</w:t>
            </w:r>
          </w:p>
        </w:tc>
        <w:tc>
          <w:tcPr>
            <w:tcW w:w="5940" w:type="dxa"/>
          </w:tcPr>
          <w:p w:rsidR="00661B95" w:rsidRPr="00977A6A" w:rsidRDefault="00661B95" w:rsidP="00661B95">
            <w:pPr>
              <w:jc w:val="center"/>
              <w:rPr>
                <w:b/>
                <w:sz w:val="22"/>
              </w:rPr>
            </w:pPr>
            <w:r w:rsidRPr="00977A6A">
              <w:rPr>
                <w:b/>
                <w:sz w:val="22"/>
              </w:rPr>
              <w:t>DISCUSSION</w:t>
            </w:r>
          </w:p>
        </w:tc>
        <w:tc>
          <w:tcPr>
            <w:tcW w:w="2178" w:type="dxa"/>
          </w:tcPr>
          <w:p w:rsidR="00661B95" w:rsidRPr="00977A6A" w:rsidRDefault="00661B95" w:rsidP="00661B95">
            <w:pPr>
              <w:jc w:val="center"/>
              <w:rPr>
                <w:b/>
                <w:sz w:val="22"/>
              </w:rPr>
            </w:pPr>
            <w:r w:rsidRPr="00977A6A">
              <w:rPr>
                <w:b/>
                <w:sz w:val="22"/>
              </w:rPr>
              <w:t>ACTION TAKEN</w:t>
            </w:r>
          </w:p>
        </w:tc>
      </w:tr>
      <w:tr w:rsidR="00E87A5F" w:rsidRPr="00977A6A" w:rsidTr="00661B95">
        <w:tc>
          <w:tcPr>
            <w:tcW w:w="2178" w:type="dxa"/>
          </w:tcPr>
          <w:p w:rsidR="00E87A5F" w:rsidRDefault="00E87A5F" w:rsidP="00CA0BAA">
            <w:pPr>
              <w:rPr>
                <w:sz w:val="22"/>
              </w:rPr>
            </w:pPr>
            <w:r>
              <w:rPr>
                <w:sz w:val="22"/>
              </w:rPr>
              <w:t>Nancy Barbour</w:t>
            </w:r>
          </w:p>
        </w:tc>
        <w:tc>
          <w:tcPr>
            <w:tcW w:w="5940" w:type="dxa"/>
          </w:tcPr>
          <w:p w:rsidR="00E87A5F" w:rsidRPr="00977A6A" w:rsidRDefault="00E87A5F" w:rsidP="00661B95">
            <w:pPr>
              <w:rPr>
                <w:sz w:val="22"/>
              </w:rPr>
            </w:pPr>
            <w:r>
              <w:rPr>
                <w:sz w:val="22"/>
              </w:rPr>
              <w:t>Introductions and apology for scheduling issue from earlier</w:t>
            </w:r>
          </w:p>
        </w:tc>
        <w:tc>
          <w:tcPr>
            <w:tcW w:w="2178" w:type="dxa"/>
          </w:tcPr>
          <w:p w:rsidR="00E87A5F" w:rsidRPr="00977A6A" w:rsidRDefault="00E87A5F" w:rsidP="00661B95">
            <w:pPr>
              <w:rPr>
                <w:sz w:val="22"/>
              </w:rPr>
            </w:pPr>
          </w:p>
        </w:tc>
      </w:tr>
      <w:tr w:rsidR="00661B95" w:rsidRPr="00977A6A" w:rsidTr="00661B95">
        <w:tc>
          <w:tcPr>
            <w:tcW w:w="2178" w:type="dxa"/>
          </w:tcPr>
          <w:p w:rsidR="00661B95" w:rsidRPr="00977A6A" w:rsidRDefault="00732DCC" w:rsidP="00CA0BAA">
            <w:pPr>
              <w:rPr>
                <w:sz w:val="22"/>
              </w:rPr>
            </w:pPr>
            <w:r>
              <w:rPr>
                <w:sz w:val="22"/>
              </w:rPr>
              <w:t>Rachel Foot – EHHS Doctoral Student Forum</w:t>
            </w:r>
          </w:p>
        </w:tc>
        <w:tc>
          <w:tcPr>
            <w:tcW w:w="5940" w:type="dxa"/>
          </w:tcPr>
          <w:p w:rsidR="00661B95" w:rsidRPr="00F902BF" w:rsidRDefault="00E87A5F" w:rsidP="00F902BF">
            <w:pPr>
              <w:rPr>
                <w:sz w:val="22"/>
              </w:rPr>
            </w:pPr>
            <w:r w:rsidRPr="00F902BF">
              <w:rPr>
                <w:sz w:val="22"/>
              </w:rPr>
              <w:t>Rachel Foot, doctoral student, gave the coordinators a description of the recently formalized EHHS Doctoral Student Forum.  She described it as a grassroots initiative by doctoral students to create a support system for themselves.  The initiative began informally about six years ago</w:t>
            </w:r>
            <w:r w:rsidR="00F902BF" w:rsidRPr="00F902BF">
              <w:rPr>
                <w:sz w:val="22"/>
              </w:rPr>
              <w:t xml:space="preserve"> in C&amp;I, but is now an opportunity for all EHHS doctoral students to communicate with and support their peers.  Some of the activities of the forum include professional development workshops, brown bag lunch sessions, social support and an            annual retreat.  The next retreat is </w:t>
            </w:r>
            <w:r w:rsidR="00F902BF" w:rsidRPr="00F902BF">
              <w:rPr>
                <w:rFonts w:eastAsia="Times New Roman"/>
                <w:sz w:val="22"/>
              </w:rPr>
              <w:t>Saturday, October 1, 2011, and will give all doctoral students within the College of EHHS a chance to interact with each other and faculty while receiving information to assist them as they complete their doctoral program.  Rachel shared a flyer with coordinators and asked them to pass the invitation along to their doctoral students.  Currently doctoral students learn of the forum by listserv and word of mouth.  In the future Nancy Miller will provide the name and email of new doctoral students as they are admitted and they will be added to the listserv more often.</w:t>
            </w:r>
          </w:p>
        </w:tc>
        <w:tc>
          <w:tcPr>
            <w:tcW w:w="2178" w:type="dxa"/>
          </w:tcPr>
          <w:p w:rsidR="008E146B" w:rsidRPr="00977A6A" w:rsidRDefault="008E146B" w:rsidP="00661B95">
            <w:pPr>
              <w:rPr>
                <w:sz w:val="22"/>
              </w:rPr>
            </w:pPr>
          </w:p>
        </w:tc>
      </w:tr>
      <w:tr w:rsidR="00661B95" w:rsidRPr="00977A6A" w:rsidTr="00661B95">
        <w:tc>
          <w:tcPr>
            <w:tcW w:w="2178" w:type="dxa"/>
          </w:tcPr>
          <w:p w:rsidR="00661B95" w:rsidRPr="00977A6A" w:rsidRDefault="00732DCC" w:rsidP="00661B95">
            <w:pPr>
              <w:rPr>
                <w:sz w:val="22"/>
              </w:rPr>
            </w:pPr>
            <w:r>
              <w:rPr>
                <w:sz w:val="22"/>
              </w:rPr>
              <w:t>Susan Augustine – Curricular Initiatives</w:t>
            </w:r>
          </w:p>
        </w:tc>
        <w:tc>
          <w:tcPr>
            <w:tcW w:w="5940" w:type="dxa"/>
          </w:tcPr>
          <w:p w:rsidR="007D52C3" w:rsidRDefault="00F902BF" w:rsidP="007D52C3">
            <w:pPr>
              <w:rPr>
                <w:sz w:val="22"/>
              </w:rPr>
            </w:pPr>
            <w:r>
              <w:rPr>
                <w:sz w:val="22"/>
              </w:rPr>
              <w:t xml:space="preserve">Susan shared the college’s curricular initiatives for the year, including changes in course catalog updates, certificate reviews and the 5-year certificate and minor update requirements.  Coordinators were directed to charts containing deadline dates and </w:t>
            </w:r>
            <w:r w:rsidR="007D52C3">
              <w:rPr>
                <w:sz w:val="22"/>
              </w:rPr>
              <w:t xml:space="preserve">answered questions about forms and information required to meet the requirements.  </w:t>
            </w:r>
          </w:p>
          <w:p w:rsidR="007D52C3" w:rsidRDefault="007D52C3" w:rsidP="007D52C3">
            <w:pPr>
              <w:rPr>
                <w:sz w:val="22"/>
              </w:rPr>
            </w:pPr>
          </w:p>
          <w:p w:rsidR="00E73284" w:rsidRDefault="007D52C3" w:rsidP="007D52C3">
            <w:pPr>
              <w:rPr>
                <w:sz w:val="22"/>
              </w:rPr>
            </w:pPr>
            <w:r>
              <w:rPr>
                <w:sz w:val="22"/>
              </w:rPr>
              <w:lastRenderedPageBreak/>
              <w:t>She also reminded faculty that unless otherwise arranged, courses which have not had registrations in some time will be inactivated in three years if paperwork is not submitted to request otherwise.  She recommended large scale inactivation for multiple courses which are not going to be taught in the future, and submission of routine course catalog update workflow for individual inactivation of a course.</w:t>
            </w:r>
          </w:p>
          <w:p w:rsidR="007D52C3" w:rsidRDefault="007D52C3" w:rsidP="007D52C3">
            <w:pPr>
              <w:rPr>
                <w:sz w:val="22"/>
              </w:rPr>
            </w:pPr>
          </w:p>
          <w:p w:rsidR="007D52C3" w:rsidRPr="00977A6A" w:rsidRDefault="007D52C3" w:rsidP="007D52C3">
            <w:pPr>
              <w:rPr>
                <w:sz w:val="22"/>
              </w:rPr>
            </w:pPr>
            <w:r>
              <w:rPr>
                <w:sz w:val="22"/>
              </w:rPr>
              <w:t xml:space="preserve">Additionally, Susan reminded coordinators that special topics courses must be approved at the school level curriculum committee. </w:t>
            </w:r>
          </w:p>
        </w:tc>
        <w:tc>
          <w:tcPr>
            <w:tcW w:w="2178" w:type="dxa"/>
          </w:tcPr>
          <w:p w:rsidR="00661B95" w:rsidRPr="00977A6A" w:rsidRDefault="00661B95" w:rsidP="00661B95">
            <w:pPr>
              <w:rPr>
                <w:sz w:val="22"/>
              </w:rPr>
            </w:pPr>
          </w:p>
        </w:tc>
      </w:tr>
      <w:tr w:rsidR="00661B95" w:rsidRPr="00977A6A" w:rsidTr="00661B95">
        <w:tc>
          <w:tcPr>
            <w:tcW w:w="2178" w:type="dxa"/>
          </w:tcPr>
          <w:p w:rsidR="00661B95" w:rsidRPr="00977A6A" w:rsidRDefault="00732DCC" w:rsidP="00661B95">
            <w:pPr>
              <w:rPr>
                <w:sz w:val="22"/>
              </w:rPr>
            </w:pPr>
            <w:r>
              <w:rPr>
                <w:sz w:val="22"/>
              </w:rPr>
              <w:lastRenderedPageBreak/>
              <w:t>Out of State Placements – Stephane Booth Project</w:t>
            </w:r>
          </w:p>
        </w:tc>
        <w:tc>
          <w:tcPr>
            <w:tcW w:w="5940" w:type="dxa"/>
          </w:tcPr>
          <w:p w:rsidR="007D52C3" w:rsidRDefault="007D52C3" w:rsidP="007D52C3">
            <w:pPr>
              <w:rPr>
                <w:sz w:val="22"/>
              </w:rPr>
            </w:pPr>
          </w:p>
          <w:p w:rsidR="00661B95" w:rsidRPr="00977A6A" w:rsidRDefault="007E0B76" w:rsidP="007E0B76">
            <w:pPr>
              <w:rPr>
                <w:sz w:val="22"/>
              </w:rPr>
            </w:pPr>
            <w:r>
              <w:rPr>
                <w:sz w:val="22"/>
              </w:rPr>
              <w:t xml:space="preserve">Stephane Booth’s office sent a memo requesting data about out of state student teaching and clinical placements.  They are determining if a physical presence is required in that state to monitor students.  It is likely we will have additional requirements to meet for those placements.  </w:t>
            </w:r>
            <w:r w:rsidR="007D52C3">
              <w:rPr>
                <w:sz w:val="22"/>
              </w:rPr>
              <w:t xml:space="preserve">Nancy asked for coordinators to submit information about their out of state student teaching placements and </w:t>
            </w:r>
            <w:r>
              <w:rPr>
                <w:sz w:val="22"/>
              </w:rPr>
              <w:t xml:space="preserve">clinical assignments.  </w:t>
            </w:r>
            <w:r w:rsidR="007D52C3">
              <w:rPr>
                <w:sz w:val="22"/>
              </w:rPr>
              <w:t xml:space="preserve"> </w:t>
            </w:r>
            <w:r>
              <w:rPr>
                <w:sz w:val="22"/>
              </w:rPr>
              <w:t xml:space="preserve"> A request for clarification of </w:t>
            </w:r>
            <w:r w:rsidR="007D52C3">
              <w:rPr>
                <w:sz w:val="22"/>
              </w:rPr>
              <w:t xml:space="preserve">whether out of state student teaching placements were currently being assigned was made.  </w:t>
            </w:r>
            <w:r>
              <w:rPr>
                <w:sz w:val="22"/>
              </w:rPr>
              <w:t>There was some discussion around this request with the outcome that yes, there was approved out of state student teaching placements available in specific locations.</w:t>
            </w:r>
          </w:p>
        </w:tc>
        <w:tc>
          <w:tcPr>
            <w:tcW w:w="2178" w:type="dxa"/>
          </w:tcPr>
          <w:p w:rsidR="00661B95" w:rsidRPr="00977A6A" w:rsidRDefault="00661B95" w:rsidP="000C5336">
            <w:pPr>
              <w:rPr>
                <w:sz w:val="22"/>
              </w:rPr>
            </w:pPr>
          </w:p>
        </w:tc>
      </w:tr>
      <w:tr w:rsidR="0016753B" w:rsidRPr="00977A6A" w:rsidTr="00661B95">
        <w:tc>
          <w:tcPr>
            <w:tcW w:w="2178" w:type="dxa"/>
          </w:tcPr>
          <w:p w:rsidR="0016753B" w:rsidRPr="00977A6A" w:rsidRDefault="00732DCC" w:rsidP="00661B95">
            <w:pPr>
              <w:rPr>
                <w:sz w:val="22"/>
              </w:rPr>
            </w:pPr>
            <w:r>
              <w:rPr>
                <w:sz w:val="22"/>
              </w:rPr>
              <w:t>Transfer of Credit on Plan of Study</w:t>
            </w:r>
          </w:p>
        </w:tc>
        <w:tc>
          <w:tcPr>
            <w:tcW w:w="5940" w:type="dxa"/>
          </w:tcPr>
          <w:p w:rsidR="00A30FBC" w:rsidRPr="00977A6A" w:rsidRDefault="007E0B76" w:rsidP="00431E04">
            <w:pPr>
              <w:rPr>
                <w:sz w:val="22"/>
              </w:rPr>
            </w:pPr>
            <w:r>
              <w:rPr>
                <w:sz w:val="22"/>
              </w:rPr>
              <w:t xml:space="preserve">Nancy shared with coordinators that the deadline date for plans of study to be </w:t>
            </w:r>
            <w:r w:rsidR="00F407B1">
              <w:rPr>
                <w:sz w:val="22"/>
              </w:rPr>
              <w:t xml:space="preserve">submitted </w:t>
            </w:r>
            <w:r w:rsidR="00431E04">
              <w:rPr>
                <w:sz w:val="22"/>
              </w:rPr>
              <w:t>w</w:t>
            </w:r>
            <w:r w:rsidR="00F407B1">
              <w:rPr>
                <w:sz w:val="22"/>
              </w:rPr>
              <w:t>as</w:t>
            </w:r>
            <w:r>
              <w:rPr>
                <w:sz w:val="22"/>
              </w:rPr>
              <w:t xml:space="preserve"> changed</w:t>
            </w:r>
            <w:r w:rsidR="00431E04">
              <w:rPr>
                <w:sz w:val="22"/>
              </w:rPr>
              <w:t xml:space="preserve"> several years ago and holds on registrations are now in place</w:t>
            </w:r>
            <w:r>
              <w:rPr>
                <w:sz w:val="22"/>
              </w:rPr>
              <w:t xml:space="preserve">.  She also reminded coordinators that, based on the credits transferred into the program by the student, the beginning date of their program </w:t>
            </w:r>
            <w:r w:rsidR="00F407B1">
              <w:rPr>
                <w:sz w:val="22"/>
              </w:rPr>
              <w:t xml:space="preserve">will </w:t>
            </w:r>
            <w:r w:rsidR="00431E04">
              <w:rPr>
                <w:sz w:val="22"/>
              </w:rPr>
              <w:t xml:space="preserve">be different than that date they receive upon admission. </w:t>
            </w:r>
            <w:r>
              <w:rPr>
                <w:sz w:val="22"/>
              </w:rPr>
              <w:t xml:space="preserve">The program beginning date is based on the year and semester of the earliest course completed.  This will be strictly enforced and can significantly shorten a student’s time to complete the program.  Currently, master’s students have six years to complete their program, and doctoral students have nine years.  The program completion date is verified by Nancy.  Many times the student learns of an issue when applying for graduation.  In the future, students will be informed of this as they request to transfer the credits to </w:t>
            </w:r>
            <w:r w:rsidR="00431E04">
              <w:rPr>
                <w:sz w:val="22"/>
              </w:rPr>
              <w:t>their program</w:t>
            </w:r>
            <w:r>
              <w:rPr>
                <w:sz w:val="22"/>
              </w:rPr>
              <w:t>.</w:t>
            </w:r>
          </w:p>
        </w:tc>
        <w:tc>
          <w:tcPr>
            <w:tcW w:w="2178" w:type="dxa"/>
          </w:tcPr>
          <w:p w:rsidR="00527224" w:rsidRPr="00977A6A" w:rsidRDefault="00527224" w:rsidP="00661B95">
            <w:pPr>
              <w:rPr>
                <w:sz w:val="22"/>
              </w:rPr>
            </w:pPr>
          </w:p>
        </w:tc>
      </w:tr>
      <w:tr w:rsidR="0016753B" w:rsidRPr="00977A6A" w:rsidTr="00661B95">
        <w:tc>
          <w:tcPr>
            <w:tcW w:w="2178" w:type="dxa"/>
          </w:tcPr>
          <w:p w:rsidR="0016753B" w:rsidRPr="00977A6A" w:rsidRDefault="00732DCC" w:rsidP="00661B95">
            <w:pPr>
              <w:rPr>
                <w:sz w:val="22"/>
              </w:rPr>
            </w:pPr>
            <w:r>
              <w:rPr>
                <w:sz w:val="22"/>
              </w:rPr>
              <w:t>Number of workshop</w:t>
            </w:r>
            <w:r w:rsidR="00632C45">
              <w:rPr>
                <w:sz w:val="22"/>
              </w:rPr>
              <w:t>s</w:t>
            </w:r>
            <w:r>
              <w:rPr>
                <w:sz w:val="22"/>
              </w:rPr>
              <w:t xml:space="preserve"> permitted for certificate completion</w:t>
            </w:r>
          </w:p>
        </w:tc>
        <w:tc>
          <w:tcPr>
            <w:tcW w:w="5940" w:type="dxa"/>
          </w:tcPr>
          <w:p w:rsidR="00AF5986" w:rsidRDefault="00632C45" w:rsidP="00632C45">
            <w:pPr>
              <w:rPr>
                <w:sz w:val="22"/>
              </w:rPr>
            </w:pPr>
            <w:r>
              <w:rPr>
                <w:sz w:val="22"/>
              </w:rPr>
              <w:t xml:space="preserve">Related to the transfer of credits discussion above, is an issue of the current criteria for transferring credits into the program.  Students may now transfer 30% of the total number of credit hours required by the degree or certificate up to a maximum of 12 credit hours.  This creates an issue with transferred credits into certificates.  For example, </w:t>
            </w:r>
            <w:r w:rsidR="00F407B1">
              <w:rPr>
                <w:sz w:val="22"/>
              </w:rPr>
              <w:t>transfer credits of 12 hours into a certificate program of 21 hours exceed</w:t>
            </w:r>
            <w:r>
              <w:rPr>
                <w:sz w:val="22"/>
              </w:rPr>
              <w:t xml:space="preserve"> the 30% rule.  After discussion, coordinators voted to change the wording of the statement (wording will be finalized by Nancy Barbour) and also limit the transfer credits allowed for certificates to two transfer credit hours for a certificate.  </w:t>
            </w:r>
          </w:p>
          <w:p w:rsidR="009555B0" w:rsidRDefault="009555B0" w:rsidP="00632C45">
            <w:pPr>
              <w:rPr>
                <w:sz w:val="22"/>
              </w:rPr>
            </w:pPr>
          </w:p>
          <w:p w:rsidR="009555B0" w:rsidRDefault="009555B0" w:rsidP="002C5468">
            <w:pPr>
              <w:rPr>
                <w:i/>
                <w:sz w:val="22"/>
              </w:rPr>
            </w:pPr>
            <w:r>
              <w:rPr>
                <w:sz w:val="22"/>
              </w:rPr>
              <w:t xml:space="preserve">New Wording: </w:t>
            </w:r>
            <w:r w:rsidRPr="009555B0">
              <w:rPr>
                <w:i/>
                <w:sz w:val="22"/>
              </w:rPr>
              <w:t>Students may transfer in a maximum of 12 credit hours to a degree. Students may transfer in no more than 30% of t</w:t>
            </w:r>
            <w:r w:rsidR="002C5468">
              <w:rPr>
                <w:i/>
                <w:sz w:val="22"/>
              </w:rPr>
              <w:t>he total number of credit hours</w:t>
            </w:r>
            <w:r w:rsidRPr="009555B0">
              <w:rPr>
                <w:i/>
                <w:sz w:val="22"/>
              </w:rPr>
              <w:t xml:space="preserve"> for a certificate</w:t>
            </w:r>
            <w:r w:rsidR="002C5468">
              <w:rPr>
                <w:i/>
                <w:sz w:val="22"/>
              </w:rPr>
              <w:t>.</w:t>
            </w:r>
          </w:p>
          <w:p w:rsidR="002C5468" w:rsidRPr="00977A6A" w:rsidRDefault="002C5468" w:rsidP="002C5468">
            <w:pPr>
              <w:rPr>
                <w:sz w:val="22"/>
              </w:rPr>
            </w:pPr>
          </w:p>
        </w:tc>
        <w:tc>
          <w:tcPr>
            <w:tcW w:w="2178" w:type="dxa"/>
          </w:tcPr>
          <w:p w:rsidR="00632C45" w:rsidRDefault="00632C45" w:rsidP="00632C45">
            <w:pPr>
              <w:rPr>
                <w:sz w:val="22"/>
              </w:rPr>
            </w:pPr>
            <w:r>
              <w:rPr>
                <w:sz w:val="22"/>
              </w:rPr>
              <w:t xml:space="preserve">Vote to change wording of allowable transfer credits and also to limit the transfer </w:t>
            </w:r>
            <w:r w:rsidR="00F407B1">
              <w:rPr>
                <w:sz w:val="22"/>
              </w:rPr>
              <w:t>credits permitted</w:t>
            </w:r>
            <w:r>
              <w:rPr>
                <w:sz w:val="22"/>
              </w:rPr>
              <w:t xml:space="preserve"> for certificates.</w:t>
            </w:r>
          </w:p>
          <w:p w:rsidR="00632C45" w:rsidRDefault="00632C45" w:rsidP="00632C45">
            <w:pPr>
              <w:rPr>
                <w:sz w:val="22"/>
              </w:rPr>
            </w:pPr>
          </w:p>
          <w:p w:rsidR="0016753B" w:rsidRPr="00977A6A" w:rsidRDefault="00632C45" w:rsidP="00632C45">
            <w:pPr>
              <w:rPr>
                <w:sz w:val="22"/>
              </w:rPr>
            </w:pPr>
            <w:r>
              <w:rPr>
                <w:sz w:val="22"/>
              </w:rPr>
              <w:t>Motion by Karen Lowry Gordon; seconded by Lyle Barton, all voted in favor.</w:t>
            </w:r>
          </w:p>
        </w:tc>
      </w:tr>
      <w:tr w:rsidR="0016753B" w:rsidRPr="00977A6A" w:rsidTr="00661B95">
        <w:tc>
          <w:tcPr>
            <w:tcW w:w="2178" w:type="dxa"/>
          </w:tcPr>
          <w:p w:rsidR="0016753B" w:rsidRPr="00977A6A" w:rsidRDefault="00732DCC" w:rsidP="00661B95">
            <w:pPr>
              <w:rPr>
                <w:sz w:val="22"/>
              </w:rPr>
            </w:pPr>
            <w:r>
              <w:rPr>
                <w:sz w:val="22"/>
              </w:rPr>
              <w:lastRenderedPageBreak/>
              <w:t>Discussion of percentage of program that is offered on-line</w:t>
            </w:r>
          </w:p>
        </w:tc>
        <w:tc>
          <w:tcPr>
            <w:tcW w:w="5940" w:type="dxa"/>
          </w:tcPr>
          <w:p w:rsidR="0016753B" w:rsidRPr="00977A6A" w:rsidRDefault="00632C45" w:rsidP="00E4432E">
            <w:pPr>
              <w:rPr>
                <w:sz w:val="22"/>
              </w:rPr>
            </w:pPr>
            <w:r>
              <w:rPr>
                <w:sz w:val="22"/>
              </w:rPr>
              <w:t xml:space="preserve">Any program which offers greater than 50% of its coursework online is required to have approval </w:t>
            </w:r>
            <w:r w:rsidR="00F407B1">
              <w:rPr>
                <w:sz w:val="22"/>
              </w:rPr>
              <w:t>of the</w:t>
            </w:r>
            <w:r>
              <w:rPr>
                <w:sz w:val="22"/>
              </w:rPr>
              <w:t xml:space="preserve"> program by relevant curriculum committees and also the Ohio Board of Regents.  Nancy asked coordinators to take a look at their programs and contact Susan Augustine if needed to initiate the appropriate paperwork to designate a program as an online program.  This rule also applies to certificates.  On a related note, Jason Piatt is developing an evaluation system for online courses.  The system will insure that EHHS courses offered online have appropriate quality and standards before they are offered online.</w:t>
            </w:r>
          </w:p>
        </w:tc>
        <w:tc>
          <w:tcPr>
            <w:tcW w:w="2178" w:type="dxa"/>
          </w:tcPr>
          <w:p w:rsidR="0016753B" w:rsidRPr="00977A6A" w:rsidRDefault="0016753B" w:rsidP="00661B95">
            <w:pPr>
              <w:rPr>
                <w:sz w:val="22"/>
              </w:rPr>
            </w:pPr>
          </w:p>
        </w:tc>
      </w:tr>
      <w:tr w:rsidR="0016753B" w:rsidRPr="00977A6A" w:rsidTr="00661B95">
        <w:tc>
          <w:tcPr>
            <w:tcW w:w="2178" w:type="dxa"/>
          </w:tcPr>
          <w:p w:rsidR="0016753B" w:rsidRPr="00977A6A" w:rsidRDefault="00732DCC" w:rsidP="00661B95">
            <w:pPr>
              <w:rPr>
                <w:sz w:val="22"/>
              </w:rPr>
            </w:pPr>
            <w:r>
              <w:rPr>
                <w:sz w:val="22"/>
              </w:rPr>
              <w:t>TOEFL Data</w:t>
            </w:r>
          </w:p>
        </w:tc>
        <w:tc>
          <w:tcPr>
            <w:tcW w:w="5940" w:type="dxa"/>
          </w:tcPr>
          <w:p w:rsidR="0016753B" w:rsidRDefault="00632C45" w:rsidP="00AE05C5">
            <w:pPr>
              <w:rPr>
                <w:sz w:val="22"/>
              </w:rPr>
            </w:pPr>
            <w:r>
              <w:rPr>
                <w:sz w:val="22"/>
              </w:rPr>
              <w:t xml:space="preserve">Nancy asked coordinators </w:t>
            </w:r>
            <w:r w:rsidR="008C48CF">
              <w:rPr>
                <w:sz w:val="22"/>
              </w:rPr>
              <w:t xml:space="preserve">to discuss TOEFL data and the current TOEFL requirement for admitting international students.  Currently, </w:t>
            </w:r>
            <w:r w:rsidR="00431E04">
              <w:rPr>
                <w:sz w:val="22"/>
              </w:rPr>
              <w:t xml:space="preserve">our proposed </w:t>
            </w:r>
            <w:r w:rsidR="008C48CF">
              <w:rPr>
                <w:sz w:val="22"/>
              </w:rPr>
              <w:t xml:space="preserve">admissions requirements </w:t>
            </w:r>
            <w:r w:rsidR="00431E04">
              <w:rPr>
                <w:sz w:val="22"/>
              </w:rPr>
              <w:t>we</w:t>
            </w:r>
            <w:r w:rsidR="008C48CF">
              <w:rPr>
                <w:sz w:val="22"/>
              </w:rPr>
              <w:t>re as follows:</w:t>
            </w:r>
          </w:p>
          <w:p w:rsidR="008C48CF" w:rsidRDefault="008C48CF" w:rsidP="00AE05C5">
            <w:pPr>
              <w:rPr>
                <w:sz w:val="22"/>
              </w:rPr>
            </w:pPr>
          </w:p>
          <w:p w:rsidR="008C48CF" w:rsidRDefault="008C48CF" w:rsidP="00AE05C5">
            <w:pPr>
              <w:rPr>
                <w:sz w:val="22"/>
              </w:rPr>
            </w:pPr>
            <w:r>
              <w:rPr>
                <w:sz w:val="22"/>
              </w:rPr>
              <w:t>100 overall score – unconditional admission</w:t>
            </w:r>
          </w:p>
          <w:p w:rsidR="008C48CF" w:rsidRDefault="008C48CF" w:rsidP="00AE05C5">
            <w:pPr>
              <w:rPr>
                <w:sz w:val="22"/>
              </w:rPr>
            </w:pPr>
            <w:r>
              <w:rPr>
                <w:sz w:val="22"/>
              </w:rPr>
              <w:t>80 – 100 conditional admission</w:t>
            </w:r>
          </w:p>
          <w:p w:rsidR="008C48CF" w:rsidRDefault="008C48CF" w:rsidP="00AE05C5">
            <w:pPr>
              <w:rPr>
                <w:sz w:val="22"/>
              </w:rPr>
            </w:pPr>
            <w:r>
              <w:rPr>
                <w:sz w:val="22"/>
              </w:rPr>
              <w:t>&lt;80 denied</w:t>
            </w:r>
          </w:p>
          <w:p w:rsidR="008C48CF" w:rsidRDefault="008C48CF" w:rsidP="00AE05C5">
            <w:pPr>
              <w:rPr>
                <w:sz w:val="22"/>
              </w:rPr>
            </w:pPr>
          </w:p>
          <w:p w:rsidR="008C48CF" w:rsidRDefault="00E8456D" w:rsidP="00AE05C5">
            <w:pPr>
              <w:rPr>
                <w:sz w:val="22"/>
              </w:rPr>
            </w:pPr>
            <w:r>
              <w:rPr>
                <w:sz w:val="22"/>
              </w:rPr>
              <w:t xml:space="preserve">Based on the criteria above, if applied to our last year’s international students, we would have 8 unconditional admissions, 44 conditional admissions and 29 denied.  We actually </w:t>
            </w:r>
            <w:r w:rsidRPr="00431E04">
              <w:rPr>
                <w:sz w:val="22"/>
              </w:rPr>
              <w:t xml:space="preserve">have </w:t>
            </w:r>
            <w:r w:rsidR="00431E04" w:rsidRPr="00431E04">
              <w:rPr>
                <w:sz w:val="22"/>
              </w:rPr>
              <w:t>81</w:t>
            </w:r>
            <w:r w:rsidR="00431E04">
              <w:rPr>
                <w:sz w:val="22"/>
              </w:rPr>
              <w:t xml:space="preserve"> </w:t>
            </w:r>
            <w:r>
              <w:rPr>
                <w:sz w:val="22"/>
              </w:rPr>
              <w:t>international students from last year.</w:t>
            </w:r>
          </w:p>
          <w:p w:rsidR="00E8456D" w:rsidRDefault="00E8456D" w:rsidP="00AE05C5">
            <w:pPr>
              <w:rPr>
                <w:sz w:val="22"/>
              </w:rPr>
            </w:pPr>
          </w:p>
          <w:p w:rsidR="00E8456D" w:rsidRDefault="00E8456D" w:rsidP="00E8456D">
            <w:pPr>
              <w:rPr>
                <w:sz w:val="22"/>
              </w:rPr>
            </w:pPr>
            <w:r>
              <w:rPr>
                <w:sz w:val="22"/>
              </w:rPr>
              <w:t xml:space="preserve">What might be a more reasonable criteria scale for admission for international students?  After some discussion, it was agreed that at minimum admission should be set at 80 with a minimum of 20 in each category (four categories:   speaking, listening, reading and writing).  </w:t>
            </w:r>
            <w:r w:rsidR="00CF55E2">
              <w:rPr>
                <w:sz w:val="22"/>
              </w:rPr>
              <w:t>We will try this standard for the next year and evaluate how well this screens the applicants.</w:t>
            </w:r>
          </w:p>
          <w:p w:rsidR="00E8456D" w:rsidRDefault="00E8456D" w:rsidP="00E8456D">
            <w:pPr>
              <w:rPr>
                <w:sz w:val="22"/>
              </w:rPr>
            </w:pPr>
          </w:p>
          <w:p w:rsidR="00E8456D" w:rsidRPr="00977A6A" w:rsidRDefault="00E8456D" w:rsidP="00E8456D">
            <w:pPr>
              <w:rPr>
                <w:sz w:val="22"/>
              </w:rPr>
            </w:pPr>
          </w:p>
        </w:tc>
        <w:tc>
          <w:tcPr>
            <w:tcW w:w="2178" w:type="dxa"/>
          </w:tcPr>
          <w:p w:rsidR="0016753B" w:rsidRPr="00977A6A" w:rsidRDefault="0016753B" w:rsidP="00193429">
            <w:pPr>
              <w:rPr>
                <w:sz w:val="22"/>
              </w:rPr>
            </w:pPr>
          </w:p>
        </w:tc>
      </w:tr>
      <w:tr w:rsidR="00E8456D" w:rsidRPr="00977A6A" w:rsidTr="00E8456D">
        <w:trPr>
          <w:trHeight w:val="1007"/>
        </w:trPr>
        <w:tc>
          <w:tcPr>
            <w:tcW w:w="2178" w:type="dxa"/>
          </w:tcPr>
          <w:p w:rsidR="00E8456D" w:rsidRDefault="00E8456D" w:rsidP="00661B95">
            <w:pPr>
              <w:rPr>
                <w:sz w:val="22"/>
              </w:rPr>
            </w:pPr>
            <w:r>
              <w:rPr>
                <w:sz w:val="22"/>
              </w:rPr>
              <w:t>New GRE Tests and Scoring</w:t>
            </w:r>
          </w:p>
        </w:tc>
        <w:tc>
          <w:tcPr>
            <w:tcW w:w="5940" w:type="dxa"/>
          </w:tcPr>
          <w:p w:rsidR="00E8456D" w:rsidRDefault="00E8456D" w:rsidP="00CF55E2">
            <w:pPr>
              <w:rPr>
                <w:sz w:val="22"/>
              </w:rPr>
            </w:pPr>
            <w:r w:rsidRPr="00CF55E2">
              <w:rPr>
                <w:sz w:val="22"/>
              </w:rPr>
              <w:t xml:space="preserve">Nancy asked coordinators to go to ETS web page and review the     new information.  She said this is a different test and </w:t>
            </w:r>
            <w:r w:rsidR="00CF55E2" w:rsidRPr="00CF55E2">
              <w:rPr>
                <w:sz w:val="22"/>
              </w:rPr>
              <w:t>the interpretation of the scores may be difficult at first</w:t>
            </w:r>
            <w:r w:rsidR="00CF55E2">
              <w:rPr>
                <w:sz w:val="22"/>
              </w:rPr>
              <w:t>.  Scores from the new exam are not available until after November 1.</w:t>
            </w:r>
          </w:p>
        </w:tc>
        <w:tc>
          <w:tcPr>
            <w:tcW w:w="2178" w:type="dxa"/>
          </w:tcPr>
          <w:p w:rsidR="00E8456D" w:rsidRPr="00977A6A" w:rsidRDefault="00E8456D" w:rsidP="00193429">
            <w:pPr>
              <w:rPr>
                <w:sz w:val="22"/>
              </w:rPr>
            </w:pPr>
          </w:p>
        </w:tc>
      </w:tr>
      <w:tr w:rsidR="00E8456D" w:rsidRPr="00977A6A" w:rsidTr="00E8456D">
        <w:trPr>
          <w:trHeight w:val="1007"/>
        </w:trPr>
        <w:tc>
          <w:tcPr>
            <w:tcW w:w="2178" w:type="dxa"/>
          </w:tcPr>
          <w:p w:rsidR="00E8456D" w:rsidRDefault="00E8456D" w:rsidP="00661B95">
            <w:pPr>
              <w:rPr>
                <w:sz w:val="22"/>
              </w:rPr>
            </w:pPr>
            <w:r>
              <w:rPr>
                <w:sz w:val="22"/>
              </w:rPr>
              <w:t>Future visit to Graduate Coordinators Meeting by Mary Ann Stephens and JP Cooney</w:t>
            </w:r>
          </w:p>
        </w:tc>
        <w:tc>
          <w:tcPr>
            <w:tcW w:w="5940" w:type="dxa"/>
          </w:tcPr>
          <w:p w:rsidR="00E8456D" w:rsidRPr="00E8456D" w:rsidRDefault="00E8456D" w:rsidP="00AE05C5">
            <w:pPr>
              <w:rPr>
                <w:sz w:val="22"/>
                <w:highlight w:val="yellow"/>
              </w:rPr>
            </w:pPr>
            <w:r w:rsidRPr="00E8456D">
              <w:rPr>
                <w:sz w:val="22"/>
              </w:rPr>
              <w:t>JP</w:t>
            </w:r>
            <w:r>
              <w:rPr>
                <w:sz w:val="22"/>
              </w:rPr>
              <w:t xml:space="preserve"> Cooney and Mary Ann Stephens will be visiting the Graduate Coordinators meeting on Oct. 27.  They are looking for feedback on the changes in graduate admission process.  Nancy encouraged coordinators to provide honest feedback and ask questions as needed.  She also asked for additional volunteers for processing electronic admissions (currently Lyle Barton and Ellen Glickman are the only two).  Lyle and Ellen briefly discussed some of their experiences with the process so far.  There have and continue to be some challenges associated with technology and receiving assistance from the Graduate Studies office.</w:t>
            </w:r>
            <w:r w:rsidR="00F407B1">
              <w:rPr>
                <w:sz w:val="22"/>
              </w:rPr>
              <w:t xml:space="preserve">  Nancy asked coordinators to think about the following question, “How can the Graduate Studies administrators assist us?”  The response to this question can be shared with Stephens and Cooney when they visit next month.</w:t>
            </w:r>
          </w:p>
        </w:tc>
        <w:tc>
          <w:tcPr>
            <w:tcW w:w="2178" w:type="dxa"/>
          </w:tcPr>
          <w:p w:rsidR="00E8456D" w:rsidRPr="00977A6A" w:rsidRDefault="00E8456D" w:rsidP="00193429">
            <w:pPr>
              <w:rPr>
                <w:sz w:val="22"/>
              </w:rPr>
            </w:pPr>
          </w:p>
        </w:tc>
      </w:tr>
    </w:tbl>
    <w:p w:rsidR="00661B95" w:rsidRPr="00977A6A" w:rsidRDefault="00661B95" w:rsidP="00661B95">
      <w:pPr>
        <w:rPr>
          <w:sz w:val="22"/>
        </w:rPr>
      </w:pPr>
    </w:p>
    <w:p w:rsidR="00661B95" w:rsidRPr="00977A6A" w:rsidRDefault="00661B95" w:rsidP="00661B95">
      <w:pPr>
        <w:rPr>
          <w:sz w:val="22"/>
        </w:rPr>
      </w:pPr>
      <w:r w:rsidRPr="00977A6A">
        <w:rPr>
          <w:sz w:val="22"/>
        </w:rPr>
        <w:t>The meeting was adjourned at</w:t>
      </w:r>
    </w:p>
    <w:p w:rsidR="00661B95" w:rsidRPr="00732DCC" w:rsidRDefault="00661B95" w:rsidP="00661B95">
      <w:pPr>
        <w:rPr>
          <w:b/>
          <w:sz w:val="22"/>
        </w:rPr>
      </w:pPr>
      <w:r w:rsidRPr="00977A6A">
        <w:rPr>
          <w:sz w:val="22"/>
        </w:rPr>
        <w:t>Next meeting:</w:t>
      </w:r>
      <w:r w:rsidR="00732DCC">
        <w:rPr>
          <w:sz w:val="22"/>
        </w:rPr>
        <w:t xml:space="preserve">  </w:t>
      </w:r>
      <w:r w:rsidR="00732DCC">
        <w:rPr>
          <w:b/>
          <w:sz w:val="22"/>
        </w:rPr>
        <w:t>Thursday, October 27</w:t>
      </w:r>
      <w:r w:rsidR="00732DCC" w:rsidRPr="00732DCC">
        <w:rPr>
          <w:b/>
          <w:sz w:val="22"/>
          <w:vertAlign w:val="superscript"/>
        </w:rPr>
        <w:t>th</w:t>
      </w:r>
      <w:r w:rsidR="00732DCC">
        <w:rPr>
          <w:b/>
          <w:sz w:val="22"/>
        </w:rPr>
        <w:t xml:space="preserve"> , 10:00 am – 11:15</w:t>
      </w:r>
    </w:p>
    <w:p w:rsidR="00661B95" w:rsidRPr="00977A6A" w:rsidRDefault="00661B95" w:rsidP="00661B95">
      <w:pPr>
        <w:rPr>
          <w:sz w:val="22"/>
        </w:rPr>
      </w:pPr>
    </w:p>
    <w:p w:rsidR="00661B95" w:rsidRPr="00977A6A" w:rsidRDefault="00F407B1" w:rsidP="00661B95">
      <w:pPr>
        <w:rPr>
          <w:sz w:val="22"/>
        </w:rPr>
      </w:pPr>
      <w:r>
        <w:rPr>
          <w:sz w:val="22"/>
        </w:rPr>
        <w:t>Hilda Pettit</w:t>
      </w:r>
      <w:r w:rsidR="00661B95" w:rsidRPr="00977A6A">
        <w:rPr>
          <w:sz w:val="22"/>
        </w:rPr>
        <w:t>, Recorder</w:t>
      </w:r>
    </w:p>
    <w:sectPr w:rsidR="00661B95" w:rsidRPr="00977A6A" w:rsidSect="00977A6A">
      <w:headerReference w:type="default" r:id="rId7"/>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BE4" w:rsidRDefault="001C5BE4" w:rsidP="00F407B1">
      <w:r>
        <w:separator/>
      </w:r>
    </w:p>
  </w:endnote>
  <w:endnote w:type="continuationSeparator" w:id="0">
    <w:p w:rsidR="001C5BE4" w:rsidRDefault="001C5BE4" w:rsidP="00F40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BE4" w:rsidRDefault="001C5BE4" w:rsidP="00F407B1">
      <w:r>
        <w:separator/>
      </w:r>
    </w:p>
  </w:footnote>
  <w:footnote w:type="continuationSeparator" w:id="0">
    <w:p w:rsidR="001C5BE4" w:rsidRDefault="001C5BE4" w:rsidP="00F40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7B1" w:rsidRDefault="00F407B1">
    <w:pPr>
      <w:pStyle w:val="Header"/>
    </w:pPr>
    <w:r>
      <w:t>DRAFT 9-26-11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1B95"/>
    <w:rsid w:val="000559FF"/>
    <w:rsid w:val="00061DD7"/>
    <w:rsid w:val="00066634"/>
    <w:rsid w:val="00085855"/>
    <w:rsid w:val="000B68A3"/>
    <w:rsid w:val="000C5336"/>
    <w:rsid w:val="000D49E5"/>
    <w:rsid w:val="00125A6C"/>
    <w:rsid w:val="0016753B"/>
    <w:rsid w:val="00170EC8"/>
    <w:rsid w:val="00193429"/>
    <w:rsid w:val="001A59F3"/>
    <w:rsid w:val="001A6F0B"/>
    <w:rsid w:val="001C5BE4"/>
    <w:rsid w:val="001D4BFF"/>
    <w:rsid w:val="001F0B4F"/>
    <w:rsid w:val="002451BA"/>
    <w:rsid w:val="002479A5"/>
    <w:rsid w:val="002622A3"/>
    <w:rsid w:val="002C5468"/>
    <w:rsid w:val="002D63F5"/>
    <w:rsid w:val="003078BA"/>
    <w:rsid w:val="00362F33"/>
    <w:rsid w:val="00384AFF"/>
    <w:rsid w:val="00385902"/>
    <w:rsid w:val="00396669"/>
    <w:rsid w:val="003C7D43"/>
    <w:rsid w:val="00401208"/>
    <w:rsid w:val="004035E6"/>
    <w:rsid w:val="00412CC5"/>
    <w:rsid w:val="00431E04"/>
    <w:rsid w:val="00452AB3"/>
    <w:rsid w:val="00466F56"/>
    <w:rsid w:val="004A286A"/>
    <w:rsid w:val="004B1BE4"/>
    <w:rsid w:val="004C5CC1"/>
    <w:rsid w:val="004D135A"/>
    <w:rsid w:val="004E0F8C"/>
    <w:rsid w:val="00527224"/>
    <w:rsid w:val="00547DD6"/>
    <w:rsid w:val="0059197D"/>
    <w:rsid w:val="00632C45"/>
    <w:rsid w:val="00661B95"/>
    <w:rsid w:val="006655C2"/>
    <w:rsid w:val="0069143C"/>
    <w:rsid w:val="006C786B"/>
    <w:rsid w:val="006E2601"/>
    <w:rsid w:val="007057C5"/>
    <w:rsid w:val="00721740"/>
    <w:rsid w:val="00732DCC"/>
    <w:rsid w:val="00741F8B"/>
    <w:rsid w:val="0074345B"/>
    <w:rsid w:val="00762A58"/>
    <w:rsid w:val="007712DC"/>
    <w:rsid w:val="00773F29"/>
    <w:rsid w:val="007D52C3"/>
    <w:rsid w:val="007E0B76"/>
    <w:rsid w:val="0080599C"/>
    <w:rsid w:val="008346AB"/>
    <w:rsid w:val="008C48CF"/>
    <w:rsid w:val="008D3CE9"/>
    <w:rsid w:val="008E146B"/>
    <w:rsid w:val="00946DD8"/>
    <w:rsid w:val="009555B0"/>
    <w:rsid w:val="00977A6A"/>
    <w:rsid w:val="009933BB"/>
    <w:rsid w:val="00A30FBC"/>
    <w:rsid w:val="00A74029"/>
    <w:rsid w:val="00AA1694"/>
    <w:rsid w:val="00AA53DC"/>
    <w:rsid w:val="00AE05C5"/>
    <w:rsid w:val="00AF5986"/>
    <w:rsid w:val="00B223A2"/>
    <w:rsid w:val="00B83ECD"/>
    <w:rsid w:val="00BA0BDE"/>
    <w:rsid w:val="00BF5426"/>
    <w:rsid w:val="00C15C42"/>
    <w:rsid w:val="00C73A27"/>
    <w:rsid w:val="00C84FAC"/>
    <w:rsid w:val="00C92734"/>
    <w:rsid w:val="00C95353"/>
    <w:rsid w:val="00CA0BAA"/>
    <w:rsid w:val="00CB2728"/>
    <w:rsid w:val="00CF55E2"/>
    <w:rsid w:val="00D0518E"/>
    <w:rsid w:val="00D84EA3"/>
    <w:rsid w:val="00DD2D45"/>
    <w:rsid w:val="00DD3C05"/>
    <w:rsid w:val="00E20D16"/>
    <w:rsid w:val="00E230C8"/>
    <w:rsid w:val="00E4432E"/>
    <w:rsid w:val="00E73284"/>
    <w:rsid w:val="00E763A5"/>
    <w:rsid w:val="00E8456D"/>
    <w:rsid w:val="00E87A5F"/>
    <w:rsid w:val="00F407B1"/>
    <w:rsid w:val="00F71E8B"/>
    <w:rsid w:val="00F90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F902BF"/>
    <w:rPr>
      <w:b/>
      <w:bCs/>
    </w:rPr>
  </w:style>
  <w:style w:type="paragraph" w:styleId="Header">
    <w:name w:val="header"/>
    <w:basedOn w:val="Normal"/>
    <w:link w:val="HeaderChar"/>
    <w:uiPriority w:val="99"/>
    <w:semiHidden/>
    <w:unhideWhenUsed/>
    <w:rsid w:val="00F407B1"/>
    <w:pPr>
      <w:tabs>
        <w:tab w:val="center" w:pos="4680"/>
        <w:tab w:val="right" w:pos="9360"/>
      </w:tabs>
    </w:pPr>
  </w:style>
  <w:style w:type="character" w:customStyle="1" w:styleId="HeaderChar">
    <w:name w:val="Header Char"/>
    <w:basedOn w:val="DefaultParagraphFont"/>
    <w:link w:val="Header"/>
    <w:uiPriority w:val="99"/>
    <w:semiHidden/>
    <w:rsid w:val="00F407B1"/>
  </w:style>
  <w:style w:type="paragraph" w:styleId="Footer">
    <w:name w:val="footer"/>
    <w:basedOn w:val="Normal"/>
    <w:link w:val="FooterChar"/>
    <w:uiPriority w:val="99"/>
    <w:semiHidden/>
    <w:unhideWhenUsed/>
    <w:rsid w:val="00F407B1"/>
    <w:pPr>
      <w:tabs>
        <w:tab w:val="center" w:pos="4680"/>
        <w:tab w:val="right" w:pos="9360"/>
      </w:tabs>
    </w:pPr>
  </w:style>
  <w:style w:type="character" w:customStyle="1" w:styleId="FooterChar">
    <w:name w:val="Footer Char"/>
    <w:basedOn w:val="DefaultParagraphFont"/>
    <w:link w:val="Footer"/>
    <w:uiPriority w:val="99"/>
    <w:semiHidden/>
    <w:rsid w:val="00F407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1301</Words>
  <Characters>7422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EHHS</dc:creator>
  <cp:keywords/>
  <dc:description/>
  <cp:lastModifiedBy>End User Support Services</cp:lastModifiedBy>
  <cp:revision>2</cp:revision>
  <dcterms:created xsi:type="dcterms:W3CDTF">2011-10-04T12:53:00Z</dcterms:created>
  <dcterms:modified xsi:type="dcterms:W3CDTF">2011-10-04T12:53:00Z</dcterms:modified>
</cp:coreProperties>
</file>