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Pr="003A38FF" w:rsidRDefault="00661B95" w:rsidP="00661B95">
      <w:pPr>
        <w:jc w:val="center"/>
        <w:rPr>
          <w:sz w:val="22"/>
        </w:rPr>
      </w:pPr>
      <w:r w:rsidRPr="00002EEC">
        <w:rPr>
          <w:sz w:val="22"/>
        </w:rPr>
        <w:t>Office of</w:t>
      </w:r>
      <w:r w:rsidRPr="003A38FF">
        <w:rPr>
          <w:sz w:val="22"/>
        </w:rPr>
        <w:t xml:space="preserve"> the Associate Dean for Administrative Affairs and Graduate Education</w:t>
      </w:r>
    </w:p>
    <w:p w:rsidR="00661B95" w:rsidRPr="003A38FF" w:rsidRDefault="007057C5" w:rsidP="00661B95">
      <w:pPr>
        <w:jc w:val="center"/>
        <w:rPr>
          <w:b/>
          <w:sz w:val="22"/>
        </w:rPr>
      </w:pPr>
      <w:r w:rsidRPr="003A38FF">
        <w:rPr>
          <w:b/>
          <w:sz w:val="22"/>
        </w:rPr>
        <w:t>GRADUATE PROGRAM COORDINATORS MEETING</w:t>
      </w:r>
    </w:p>
    <w:p w:rsidR="00661B95" w:rsidRPr="003A38FF" w:rsidRDefault="00820DF4" w:rsidP="00661B95">
      <w:pPr>
        <w:jc w:val="center"/>
        <w:rPr>
          <w:b/>
          <w:sz w:val="22"/>
        </w:rPr>
      </w:pPr>
      <w:r w:rsidRPr="003A38FF">
        <w:rPr>
          <w:b/>
          <w:sz w:val="22"/>
        </w:rPr>
        <w:t>October</w:t>
      </w:r>
      <w:r w:rsidR="00661B95" w:rsidRPr="003A38FF">
        <w:rPr>
          <w:b/>
          <w:sz w:val="22"/>
        </w:rPr>
        <w:t xml:space="preserve"> </w:t>
      </w:r>
      <w:r w:rsidRPr="003A38FF">
        <w:rPr>
          <w:b/>
          <w:sz w:val="22"/>
        </w:rPr>
        <w:t>26</w:t>
      </w:r>
      <w:r w:rsidR="00661B95" w:rsidRPr="003A38FF">
        <w:rPr>
          <w:b/>
          <w:sz w:val="22"/>
        </w:rPr>
        <w:t>, 20</w:t>
      </w:r>
      <w:r w:rsidR="00285CB0" w:rsidRPr="003A38FF">
        <w:rPr>
          <w:b/>
          <w:sz w:val="22"/>
        </w:rPr>
        <w:t>12</w:t>
      </w:r>
    </w:p>
    <w:p w:rsidR="00661B95" w:rsidRDefault="00661B95" w:rsidP="00661B95">
      <w:pPr>
        <w:jc w:val="center"/>
      </w:pPr>
    </w:p>
    <w:p w:rsidR="003A38FF" w:rsidRPr="00BB3F7E" w:rsidRDefault="003A38FF" w:rsidP="003A38FF">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520"/>
        <w:gridCol w:w="2610"/>
        <w:gridCol w:w="2520"/>
      </w:tblGrid>
      <w:tr w:rsidR="003A38FF" w:rsidRPr="00EC1F29" w:rsidTr="003A38FF">
        <w:tc>
          <w:tcPr>
            <w:tcW w:w="2628" w:type="dxa"/>
          </w:tcPr>
          <w:p w:rsidR="003A38FF" w:rsidRPr="00EC1F29" w:rsidRDefault="003A38FF" w:rsidP="003A38FF">
            <w:pPr>
              <w:jc w:val="center"/>
              <w:rPr>
                <w:b/>
                <w:sz w:val="18"/>
                <w:szCs w:val="18"/>
              </w:rPr>
            </w:pPr>
            <w:r w:rsidRPr="00EC1F29">
              <w:rPr>
                <w:b/>
                <w:sz w:val="18"/>
                <w:szCs w:val="18"/>
              </w:rPr>
              <w:t>FLA</w:t>
            </w:r>
          </w:p>
        </w:tc>
        <w:tc>
          <w:tcPr>
            <w:tcW w:w="2520" w:type="dxa"/>
          </w:tcPr>
          <w:p w:rsidR="003A38FF" w:rsidRPr="00EC1F29" w:rsidRDefault="003A38FF" w:rsidP="003A38FF">
            <w:pPr>
              <w:jc w:val="center"/>
              <w:rPr>
                <w:b/>
                <w:sz w:val="18"/>
                <w:szCs w:val="18"/>
              </w:rPr>
            </w:pPr>
            <w:r w:rsidRPr="00EC1F29">
              <w:rPr>
                <w:b/>
                <w:sz w:val="18"/>
                <w:szCs w:val="18"/>
              </w:rPr>
              <w:t>HS</w:t>
            </w:r>
          </w:p>
        </w:tc>
        <w:tc>
          <w:tcPr>
            <w:tcW w:w="2610" w:type="dxa"/>
          </w:tcPr>
          <w:p w:rsidR="003A38FF" w:rsidRPr="00EC1F29" w:rsidRDefault="003A38FF" w:rsidP="003A38FF">
            <w:pPr>
              <w:jc w:val="center"/>
              <w:rPr>
                <w:b/>
                <w:sz w:val="18"/>
                <w:szCs w:val="18"/>
              </w:rPr>
            </w:pPr>
            <w:r w:rsidRPr="00EC1F29">
              <w:rPr>
                <w:b/>
                <w:sz w:val="18"/>
                <w:szCs w:val="18"/>
              </w:rPr>
              <w:t>LDES</w:t>
            </w:r>
          </w:p>
        </w:tc>
        <w:tc>
          <w:tcPr>
            <w:tcW w:w="2520" w:type="dxa"/>
          </w:tcPr>
          <w:p w:rsidR="003A38FF" w:rsidRPr="00EC1F29" w:rsidRDefault="003A38FF" w:rsidP="003A38FF">
            <w:pPr>
              <w:jc w:val="center"/>
              <w:rPr>
                <w:b/>
                <w:sz w:val="18"/>
                <w:szCs w:val="18"/>
              </w:rPr>
            </w:pPr>
            <w:r w:rsidRPr="00EC1F29">
              <w:rPr>
                <w:b/>
                <w:sz w:val="18"/>
                <w:szCs w:val="18"/>
              </w:rPr>
              <w:t>TLC</w:t>
            </w:r>
          </w:p>
        </w:tc>
      </w:tr>
      <w:tr w:rsidR="00B06AC6" w:rsidRPr="00EC1F29" w:rsidTr="003A38FF">
        <w:trPr>
          <w:trHeight w:val="233"/>
        </w:trPr>
        <w:tc>
          <w:tcPr>
            <w:tcW w:w="2628" w:type="dxa"/>
            <w:shd w:val="clear" w:color="auto" w:fill="auto"/>
          </w:tcPr>
          <w:p w:rsidR="00B06AC6" w:rsidRPr="00EC1F29" w:rsidRDefault="00B06AC6" w:rsidP="004A5D83">
            <w:pPr>
              <w:rPr>
                <w:sz w:val="18"/>
                <w:szCs w:val="18"/>
              </w:rPr>
            </w:pPr>
            <w:r w:rsidRPr="00EC1F29">
              <w:rPr>
                <w:sz w:val="18"/>
                <w:szCs w:val="18"/>
              </w:rPr>
              <w:t>Kretovics, Mark</w:t>
            </w:r>
          </w:p>
        </w:tc>
        <w:tc>
          <w:tcPr>
            <w:tcW w:w="2520" w:type="dxa"/>
            <w:shd w:val="clear" w:color="auto" w:fill="auto"/>
          </w:tcPr>
          <w:p w:rsidR="00B06AC6" w:rsidRDefault="00B06AC6" w:rsidP="003A38FF">
            <w:pPr>
              <w:rPr>
                <w:sz w:val="18"/>
                <w:szCs w:val="18"/>
              </w:rPr>
            </w:pPr>
            <w:r>
              <w:rPr>
                <w:sz w:val="18"/>
                <w:szCs w:val="18"/>
              </w:rPr>
              <w:t>Ding, Kele</w:t>
            </w:r>
            <w:bookmarkStart w:id="0" w:name="_GoBack"/>
            <w:bookmarkEnd w:id="0"/>
          </w:p>
        </w:tc>
        <w:tc>
          <w:tcPr>
            <w:tcW w:w="2610" w:type="dxa"/>
            <w:shd w:val="clear" w:color="auto" w:fill="auto"/>
          </w:tcPr>
          <w:p w:rsidR="00B06AC6" w:rsidRDefault="00B06AC6" w:rsidP="003A38FF">
            <w:pPr>
              <w:rPr>
                <w:sz w:val="18"/>
                <w:szCs w:val="18"/>
              </w:rPr>
            </w:pPr>
            <w:r>
              <w:rPr>
                <w:sz w:val="18"/>
                <w:szCs w:val="18"/>
              </w:rPr>
              <w:t>Cox, Jane</w:t>
            </w:r>
          </w:p>
        </w:tc>
        <w:tc>
          <w:tcPr>
            <w:tcW w:w="2520" w:type="dxa"/>
            <w:shd w:val="clear" w:color="auto" w:fill="auto"/>
          </w:tcPr>
          <w:p w:rsidR="00B06AC6" w:rsidRPr="00EC1F29" w:rsidRDefault="00B06AC6" w:rsidP="003A38FF">
            <w:pPr>
              <w:rPr>
                <w:sz w:val="18"/>
                <w:szCs w:val="18"/>
              </w:rPr>
            </w:pPr>
            <w:r w:rsidRPr="00EC1F29">
              <w:rPr>
                <w:sz w:val="18"/>
                <w:szCs w:val="18"/>
              </w:rPr>
              <w:t>Hutchison, Janice</w:t>
            </w:r>
          </w:p>
        </w:tc>
      </w:tr>
      <w:tr w:rsidR="00B06AC6" w:rsidRPr="00EC1F29" w:rsidTr="003A38FF">
        <w:trPr>
          <w:trHeight w:val="233"/>
        </w:trPr>
        <w:tc>
          <w:tcPr>
            <w:tcW w:w="2628" w:type="dxa"/>
            <w:shd w:val="clear" w:color="auto" w:fill="auto"/>
          </w:tcPr>
          <w:p w:rsidR="00B06AC6" w:rsidRPr="00EC1F29" w:rsidRDefault="00B06AC6" w:rsidP="004A5D83">
            <w:pPr>
              <w:rPr>
                <w:sz w:val="18"/>
                <w:szCs w:val="18"/>
              </w:rPr>
            </w:pPr>
            <w:r w:rsidRPr="00EC1F29">
              <w:rPr>
                <w:sz w:val="18"/>
                <w:szCs w:val="18"/>
              </w:rPr>
              <w:t>McClelland, Averil</w:t>
            </w:r>
          </w:p>
        </w:tc>
        <w:tc>
          <w:tcPr>
            <w:tcW w:w="2520" w:type="dxa"/>
            <w:shd w:val="clear" w:color="auto" w:fill="auto"/>
          </w:tcPr>
          <w:p w:rsidR="00B06AC6" w:rsidRPr="00EC1F29" w:rsidRDefault="00B06AC6" w:rsidP="003A38FF">
            <w:pPr>
              <w:rPr>
                <w:sz w:val="18"/>
                <w:szCs w:val="18"/>
              </w:rPr>
            </w:pPr>
            <w:r w:rsidRPr="00EC1F29">
              <w:rPr>
                <w:sz w:val="18"/>
                <w:szCs w:val="18"/>
              </w:rPr>
              <w:t>Glickman, Ellen</w:t>
            </w:r>
          </w:p>
        </w:tc>
        <w:tc>
          <w:tcPr>
            <w:tcW w:w="2610" w:type="dxa"/>
            <w:shd w:val="clear" w:color="auto" w:fill="auto"/>
          </w:tcPr>
          <w:p w:rsidR="00B06AC6" w:rsidRPr="00EC1F29" w:rsidRDefault="00B06AC6" w:rsidP="003A38FF">
            <w:pPr>
              <w:rPr>
                <w:sz w:val="18"/>
                <w:szCs w:val="18"/>
              </w:rPr>
            </w:pPr>
            <w:r w:rsidRPr="00EC1F29">
              <w:rPr>
                <w:sz w:val="18"/>
                <w:szCs w:val="18"/>
              </w:rPr>
              <w:t>McGlothlin, Jason</w:t>
            </w:r>
          </w:p>
        </w:tc>
        <w:tc>
          <w:tcPr>
            <w:tcW w:w="2520" w:type="dxa"/>
            <w:shd w:val="clear" w:color="auto" w:fill="auto"/>
          </w:tcPr>
          <w:p w:rsidR="00B06AC6" w:rsidRPr="00EC1F29" w:rsidRDefault="00B06AC6" w:rsidP="003A38FF">
            <w:pPr>
              <w:rPr>
                <w:sz w:val="18"/>
                <w:szCs w:val="18"/>
              </w:rPr>
            </w:pPr>
            <w:r w:rsidRPr="00EC1F29">
              <w:rPr>
                <w:sz w:val="18"/>
                <w:szCs w:val="18"/>
              </w:rPr>
              <w:t>Kroeger, Janice</w:t>
            </w:r>
          </w:p>
        </w:tc>
      </w:tr>
      <w:tr w:rsidR="00B06AC6" w:rsidRPr="00EC1F29" w:rsidTr="003A38FF">
        <w:trPr>
          <w:trHeight w:val="233"/>
        </w:trPr>
        <w:tc>
          <w:tcPr>
            <w:tcW w:w="2628" w:type="dxa"/>
            <w:shd w:val="clear" w:color="auto" w:fill="auto"/>
          </w:tcPr>
          <w:p w:rsidR="00B06AC6" w:rsidRPr="00EC1F29" w:rsidRDefault="00B06AC6" w:rsidP="004A5D83">
            <w:pPr>
              <w:rPr>
                <w:sz w:val="18"/>
                <w:szCs w:val="18"/>
              </w:rPr>
            </w:pPr>
            <w:r w:rsidRPr="00EC1F29">
              <w:rPr>
                <w:sz w:val="18"/>
                <w:szCs w:val="18"/>
              </w:rPr>
              <w:t>Niesz, Tricia</w:t>
            </w:r>
          </w:p>
        </w:tc>
        <w:tc>
          <w:tcPr>
            <w:tcW w:w="2520" w:type="dxa"/>
            <w:shd w:val="clear" w:color="auto" w:fill="auto"/>
          </w:tcPr>
          <w:p w:rsidR="00B06AC6" w:rsidRPr="009B52D3" w:rsidRDefault="00B06AC6" w:rsidP="003A38FF">
            <w:pPr>
              <w:rPr>
                <w:sz w:val="14"/>
                <w:szCs w:val="14"/>
              </w:rPr>
            </w:pPr>
            <w:r>
              <w:rPr>
                <w:sz w:val="18"/>
                <w:szCs w:val="18"/>
              </w:rPr>
              <w:t>Gordon, Karen</w:t>
            </w:r>
          </w:p>
        </w:tc>
        <w:tc>
          <w:tcPr>
            <w:tcW w:w="2610" w:type="dxa"/>
            <w:shd w:val="clear" w:color="auto" w:fill="auto"/>
          </w:tcPr>
          <w:p w:rsidR="00B06AC6" w:rsidRPr="00EC1F29" w:rsidRDefault="00B06AC6" w:rsidP="003A38FF">
            <w:pPr>
              <w:rPr>
                <w:sz w:val="18"/>
                <w:szCs w:val="18"/>
              </w:rPr>
            </w:pPr>
            <w:r w:rsidRPr="00EC1F29">
              <w:rPr>
                <w:sz w:val="18"/>
                <w:szCs w:val="18"/>
              </w:rPr>
              <w:t>Richardson, Rhonda</w:t>
            </w:r>
          </w:p>
        </w:tc>
        <w:tc>
          <w:tcPr>
            <w:tcW w:w="2520" w:type="dxa"/>
            <w:shd w:val="clear" w:color="auto" w:fill="auto"/>
          </w:tcPr>
          <w:p w:rsidR="00B06AC6" w:rsidRPr="00EC1F29" w:rsidRDefault="00B06AC6" w:rsidP="003A38FF">
            <w:pPr>
              <w:rPr>
                <w:sz w:val="18"/>
                <w:szCs w:val="18"/>
              </w:rPr>
            </w:pPr>
            <w:r w:rsidRPr="00EC1F29">
              <w:rPr>
                <w:sz w:val="18"/>
                <w:szCs w:val="18"/>
              </w:rPr>
              <w:t>Morgan, Denise</w:t>
            </w:r>
          </w:p>
        </w:tc>
      </w:tr>
      <w:tr w:rsidR="00B06AC6" w:rsidRPr="00EC1F29" w:rsidTr="003A38FF">
        <w:tc>
          <w:tcPr>
            <w:tcW w:w="2628" w:type="dxa"/>
            <w:shd w:val="clear" w:color="auto" w:fill="auto"/>
          </w:tcPr>
          <w:p w:rsidR="00B06AC6" w:rsidRPr="00EC1F29" w:rsidRDefault="00B06AC6" w:rsidP="004A5D83">
            <w:pPr>
              <w:rPr>
                <w:sz w:val="18"/>
                <w:szCs w:val="18"/>
              </w:rPr>
            </w:pPr>
            <w:r w:rsidRPr="00EC1F29">
              <w:rPr>
                <w:sz w:val="18"/>
                <w:szCs w:val="18"/>
              </w:rPr>
              <w:t>Scheule, Barb</w:t>
            </w:r>
          </w:p>
        </w:tc>
        <w:tc>
          <w:tcPr>
            <w:tcW w:w="2520" w:type="dxa"/>
            <w:shd w:val="clear" w:color="auto" w:fill="auto"/>
          </w:tcPr>
          <w:p w:rsidR="00B06AC6" w:rsidRPr="009B52D3" w:rsidRDefault="00B06AC6" w:rsidP="003A38FF">
            <w:pPr>
              <w:rPr>
                <w:sz w:val="14"/>
                <w:szCs w:val="14"/>
              </w:rPr>
            </w:pPr>
          </w:p>
        </w:tc>
        <w:tc>
          <w:tcPr>
            <w:tcW w:w="2610" w:type="dxa"/>
            <w:shd w:val="clear" w:color="auto" w:fill="auto"/>
          </w:tcPr>
          <w:p w:rsidR="00B06AC6" w:rsidRPr="00EC1F29" w:rsidRDefault="00B06AC6" w:rsidP="003A38FF">
            <w:pPr>
              <w:rPr>
                <w:sz w:val="18"/>
                <w:szCs w:val="18"/>
              </w:rPr>
            </w:pPr>
            <w:r>
              <w:rPr>
                <w:sz w:val="18"/>
                <w:szCs w:val="18"/>
              </w:rPr>
              <w:t>Sansosti, Frank</w:t>
            </w:r>
          </w:p>
        </w:tc>
        <w:tc>
          <w:tcPr>
            <w:tcW w:w="2520" w:type="dxa"/>
            <w:shd w:val="clear" w:color="auto" w:fill="auto"/>
          </w:tcPr>
          <w:p w:rsidR="00B06AC6" w:rsidRPr="00EC1F29" w:rsidRDefault="00B06AC6" w:rsidP="003A38FF">
            <w:pPr>
              <w:rPr>
                <w:sz w:val="18"/>
                <w:szCs w:val="18"/>
              </w:rPr>
            </w:pPr>
          </w:p>
        </w:tc>
      </w:tr>
      <w:tr w:rsidR="00B06AC6" w:rsidRPr="00EC1F29" w:rsidTr="003A38FF">
        <w:tc>
          <w:tcPr>
            <w:tcW w:w="2628" w:type="dxa"/>
            <w:shd w:val="clear" w:color="auto" w:fill="auto"/>
          </w:tcPr>
          <w:p w:rsidR="00B06AC6" w:rsidRPr="00EC1F29" w:rsidRDefault="00B06AC6" w:rsidP="003A38FF">
            <w:pPr>
              <w:rPr>
                <w:sz w:val="18"/>
                <w:szCs w:val="18"/>
              </w:rPr>
            </w:pPr>
          </w:p>
        </w:tc>
        <w:tc>
          <w:tcPr>
            <w:tcW w:w="2520" w:type="dxa"/>
            <w:shd w:val="clear" w:color="auto" w:fill="auto"/>
          </w:tcPr>
          <w:p w:rsidR="00B06AC6" w:rsidRPr="00EC1F29" w:rsidRDefault="00B06AC6" w:rsidP="003A38FF">
            <w:pPr>
              <w:rPr>
                <w:sz w:val="18"/>
                <w:szCs w:val="18"/>
              </w:rPr>
            </w:pPr>
          </w:p>
        </w:tc>
        <w:tc>
          <w:tcPr>
            <w:tcW w:w="2610" w:type="dxa"/>
            <w:shd w:val="clear" w:color="auto" w:fill="auto"/>
          </w:tcPr>
          <w:p w:rsidR="00B06AC6" w:rsidRDefault="00B06AC6" w:rsidP="004A5D83">
            <w:pPr>
              <w:rPr>
                <w:sz w:val="18"/>
                <w:szCs w:val="18"/>
              </w:rPr>
            </w:pPr>
            <w:r w:rsidRPr="00EC1F29">
              <w:rPr>
                <w:sz w:val="18"/>
                <w:szCs w:val="18"/>
              </w:rPr>
              <w:t>Tiene, Drew</w:t>
            </w:r>
          </w:p>
        </w:tc>
        <w:tc>
          <w:tcPr>
            <w:tcW w:w="2520" w:type="dxa"/>
            <w:shd w:val="clear" w:color="auto" w:fill="auto"/>
          </w:tcPr>
          <w:p w:rsidR="00B06AC6" w:rsidRPr="00EC1F29" w:rsidRDefault="00B06AC6" w:rsidP="003A38FF">
            <w:pPr>
              <w:rPr>
                <w:sz w:val="18"/>
                <w:szCs w:val="18"/>
              </w:rPr>
            </w:pPr>
          </w:p>
        </w:tc>
      </w:tr>
      <w:tr w:rsidR="00B06AC6" w:rsidRPr="00EC1F29" w:rsidTr="003A38FF">
        <w:tc>
          <w:tcPr>
            <w:tcW w:w="2628" w:type="dxa"/>
            <w:shd w:val="clear" w:color="auto" w:fill="auto"/>
          </w:tcPr>
          <w:p w:rsidR="00B06AC6" w:rsidRPr="00EC1F29" w:rsidRDefault="00B06AC6" w:rsidP="003A38FF">
            <w:pPr>
              <w:rPr>
                <w:sz w:val="18"/>
                <w:szCs w:val="18"/>
              </w:rPr>
            </w:pPr>
          </w:p>
        </w:tc>
        <w:tc>
          <w:tcPr>
            <w:tcW w:w="2520" w:type="dxa"/>
            <w:shd w:val="clear" w:color="auto" w:fill="auto"/>
          </w:tcPr>
          <w:p w:rsidR="00B06AC6" w:rsidRPr="00EC1F29" w:rsidRDefault="00B06AC6" w:rsidP="003A38FF">
            <w:pPr>
              <w:rPr>
                <w:sz w:val="18"/>
                <w:szCs w:val="18"/>
              </w:rPr>
            </w:pPr>
          </w:p>
        </w:tc>
        <w:tc>
          <w:tcPr>
            <w:tcW w:w="2610" w:type="dxa"/>
            <w:shd w:val="clear" w:color="auto" w:fill="auto"/>
          </w:tcPr>
          <w:p w:rsidR="00B06AC6" w:rsidRPr="00EC1F29" w:rsidRDefault="00B06AC6" w:rsidP="003A38FF">
            <w:pPr>
              <w:rPr>
                <w:sz w:val="18"/>
                <w:szCs w:val="18"/>
              </w:rPr>
            </w:pPr>
            <w:r>
              <w:rPr>
                <w:sz w:val="18"/>
                <w:szCs w:val="18"/>
              </w:rPr>
              <w:t>Wisdom, Sonya</w:t>
            </w:r>
          </w:p>
        </w:tc>
        <w:tc>
          <w:tcPr>
            <w:tcW w:w="2520" w:type="dxa"/>
            <w:shd w:val="clear" w:color="auto" w:fill="auto"/>
          </w:tcPr>
          <w:p w:rsidR="00B06AC6" w:rsidRPr="00EC1F29" w:rsidRDefault="00B06AC6" w:rsidP="003A38FF">
            <w:pPr>
              <w:rPr>
                <w:sz w:val="18"/>
                <w:szCs w:val="18"/>
              </w:rPr>
            </w:pPr>
          </w:p>
        </w:tc>
      </w:tr>
    </w:tbl>
    <w:p w:rsidR="003A38FF" w:rsidRPr="00BB3F7E" w:rsidRDefault="00B06AC6" w:rsidP="003A38FF">
      <w:pPr>
        <w:rPr>
          <w:sz w:val="18"/>
          <w:szCs w:val="18"/>
        </w:rPr>
      </w:pPr>
      <w:r>
        <w:rPr>
          <w:sz w:val="18"/>
          <w:szCs w:val="18"/>
        </w:rPr>
        <w:t>Cathy Hackney</w:t>
      </w:r>
      <w:r w:rsidR="003A38FF">
        <w:rPr>
          <w:sz w:val="18"/>
          <w:szCs w:val="18"/>
        </w:rPr>
        <w:t>, Admin Affairs; Luci Wymer, Recorder</w:t>
      </w:r>
    </w:p>
    <w:p w:rsidR="003A38FF" w:rsidRPr="00BB3F7E" w:rsidRDefault="003A38FF" w:rsidP="003A38FF">
      <w:pPr>
        <w:rPr>
          <w:sz w:val="18"/>
          <w:szCs w:val="18"/>
        </w:rPr>
      </w:pPr>
    </w:p>
    <w:p w:rsidR="003A38FF" w:rsidRPr="00BB3F7E" w:rsidRDefault="003A38FF" w:rsidP="003A38FF">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4"/>
        <w:gridCol w:w="2574"/>
        <w:gridCol w:w="2574"/>
        <w:gridCol w:w="2574"/>
      </w:tblGrid>
      <w:tr w:rsidR="003A38FF" w:rsidRPr="00EC1F29" w:rsidTr="003A38FF">
        <w:tc>
          <w:tcPr>
            <w:tcW w:w="2574" w:type="dxa"/>
          </w:tcPr>
          <w:p w:rsidR="003A38FF" w:rsidRPr="00EC1F29" w:rsidRDefault="003A38FF" w:rsidP="003A38FF">
            <w:pPr>
              <w:jc w:val="center"/>
              <w:rPr>
                <w:b/>
                <w:sz w:val="18"/>
                <w:szCs w:val="18"/>
              </w:rPr>
            </w:pPr>
            <w:r w:rsidRPr="00EC1F29">
              <w:rPr>
                <w:b/>
                <w:sz w:val="18"/>
                <w:szCs w:val="18"/>
              </w:rPr>
              <w:t>FLA</w:t>
            </w:r>
          </w:p>
        </w:tc>
        <w:tc>
          <w:tcPr>
            <w:tcW w:w="2574" w:type="dxa"/>
          </w:tcPr>
          <w:p w:rsidR="003A38FF" w:rsidRPr="00EC1F29" w:rsidRDefault="003A38FF" w:rsidP="003A38FF">
            <w:pPr>
              <w:jc w:val="center"/>
              <w:rPr>
                <w:b/>
                <w:sz w:val="18"/>
                <w:szCs w:val="18"/>
              </w:rPr>
            </w:pPr>
            <w:r w:rsidRPr="00EC1F29">
              <w:rPr>
                <w:b/>
                <w:sz w:val="18"/>
                <w:szCs w:val="18"/>
              </w:rPr>
              <w:t>HS</w:t>
            </w:r>
          </w:p>
        </w:tc>
        <w:tc>
          <w:tcPr>
            <w:tcW w:w="2574" w:type="dxa"/>
          </w:tcPr>
          <w:p w:rsidR="003A38FF" w:rsidRPr="00EC1F29" w:rsidRDefault="003A38FF" w:rsidP="003A38FF">
            <w:pPr>
              <w:jc w:val="center"/>
              <w:rPr>
                <w:b/>
                <w:sz w:val="18"/>
                <w:szCs w:val="18"/>
              </w:rPr>
            </w:pPr>
            <w:r w:rsidRPr="00EC1F29">
              <w:rPr>
                <w:b/>
                <w:sz w:val="18"/>
                <w:szCs w:val="18"/>
              </w:rPr>
              <w:t>LDES</w:t>
            </w:r>
          </w:p>
        </w:tc>
        <w:tc>
          <w:tcPr>
            <w:tcW w:w="2574" w:type="dxa"/>
          </w:tcPr>
          <w:p w:rsidR="003A38FF" w:rsidRPr="00EC1F29" w:rsidRDefault="003A38FF" w:rsidP="003A38FF">
            <w:pPr>
              <w:jc w:val="center"/>
              <w:rPr>
                <w:b/>
                <w:sz w:val="18"/>
                <w:szCs w:val="18"/>
              </w:rPr>
            </w:pPr>
            <w:r w:rsidRPr="00EC1F29">
              <w:rPr>
                <w:b/>
                <w:sz w:val="18"/>
                <w:szCs w:val="18"/>
              </w:rPr>
              <w:t>TLC</w:t>
            </w:r>
          </w:p>
        </w:tc>
      </w:tr>
      <w:tr w:rsidR="003A38FF" w:rsidRPr="00EC1F29" w:rsidTr="003A38FF">
        <w:trPr>
          <w:trHeight w:val="233"/>
        </w:trPr>
        <w:tc>
          <w:tcPr>
            <w:tcW w:w="2574" w:type="dxa"/>
          </w:tcPr>
          <w:p w:rsidR="003A38FF" w:rsidRPr="00EC1F29" w:rsidRDefault="003A38FF" w:rsidP="003A38FF">
            <w:pPr>
              <w:rPr>
                <w:sz w:val="18"/>
                <w:szCs w:val="18"/>
              </w:rPr>
            </w:pPr>
            <w:r>
              <w:rPr>
                <w:sz w:val="18"/>
                <w:szCs w:val="18"/>
              </w:rPr>
              <w:t>Lyberger, Mark – Conf.</w:t>
            </w:r>
          </w:p>
        </w:tc>
        <w:tc>
          <w:tcPr>
            <w:tcW w:w="2574" w:type="dxa"/>
          </w:tcPr>
          <w:p w:rsidR="003A38FF" w:rsidRPr="00EC1F29" w:rsidRDefault="003A38FF" w:rsidP="003A38FF">
            <w:pPr>
              <w:rPr>
                <w:sz w:val="18"/>
                <w:szCs w:val="18"/>
              </w:rPr>
            </w:pPr>
            <w:r w:rsidRPr="00EC1F29">
              <w:rPr>
                <w:sz w:val="18"/>
                <w:szCs w:val="18"/>
              </w:rPr>
              <w:t>Burzminski, Nancy</w:t>
            </w:r>
          </w:p>
        </w:tc>
        <w:tc>
          <w:tcPr>
            <w:tcW w:w="2574" w:type="dxa"/>
          </w:tcPr>
          <w:p w:rsidR="003A38FF" w:rsidRPr="00EC1F29" w:rsidRDefault="003A38FF" w:rsidP="003A38FF">
            <w:pPr>
              <w:rPr>
                <w:sz w:val="18"/>
                <w:szCs w:val="18"/>
              </w:rPr>
            </w:pPr>
            <w:r w:rsidRPr="00EC1F29">
              <w:rPr>
                <w:sz w:val="18"/>
                <w:szCs w:val="18"/>
              </w:rPr>
              <w:t>Rumrill, Phil</w:t>
            </w:r>
          </w:p>
        </w:tc>
        <w:tc>
          <w:tcPr>
            <w:tcW w:w="2574" w:type="dxa"/>
          </w:tcPr>
          <w:p w:rsidR="003A38FF" w:rsidRPr="00EC1F29" w:rsidRDefault="003A38FF" w:rsidP="003A38FF">
            <w:pPr>
              <w:rPr>
                <w:sz w:val="18"/>
                <w:szCs w:val="18"/>
              </w:rPr>
            </w:pPr>
            <w:r w:rsidRPr="00EC1F29">
              <w:rPr>
                <w:sz w:val="18"/>
                <w:szCs w:val="18"/>
              </w:rPr>
              <w:t>Brooks, Bette</w:t>
            </w:r>
          </w:p>
        </w:tc>
      </w:tr>
      <w:tr w:rsidR="003A38FF" w:rsidRPr="00EC1F29" w:rsidTr="003A38FF">
        <w:tc>
          <w:tcPr>
            <w:tcW w:w="2574" w:type="dxa"/>
          </w:tcPr>
          <w:p w:rsidR="003A38FF" w:rsidRPr="00EC1F29" w:rsidRDefault="003A38FF" w:rsidP="003A38FF">
            <w:pPr>
              <w:rPr>
                <w:sz w:val="18"/>
                <w:szCs w:val="18"/>
              </w:rPr>
            </w:pPr>
          </w:p>
        </w:tc>
        <w:tc>
          <w:tcPr>
            <w:tcW w:w="2574" w:type="dxa"/>
          </w:tcPr>
          <w:p w:rsidR="003A38FF" w:rsidRPr="00EC1F29" w:rsidRDefault="003A38FF" w:rsidP="003A38FF">
            <w:pPr>
              <w:rPr>
                <w:sz w:val="18"/>
                <w:szCs w:val="18"/>
              </w:rPr>
            </w:pPr>
            <w:r>
              <w:rPr>
                <w:sz w:val="18"/>
                <w:szCs w:val="18"/>
              </w:rPr>
              <w:t>Peer, Kim - UTC</w:t>
            </w:r>
          </w:p>
        </w:tc>
        <w:tc>
          <w:tcPr>
            <w:tcW w:w="2574" w:type="dxa"/>
          </w:tcPr>
          <w:p w:rsidR="003A38FF" w:rsidRDefault="003A38FF" w:rsidP="003A38FF">
            <w:pPr>
              <w:rPr>
                <w:sz w:val="18"/>
                <w:szCs w:val="18"/>
              </w:rPr>
            </w:pPr>
          </w:p>
        </w:tc>
        <w:tc>
          <w:tcPr>
            <w:tcW w:w="2574" w:type="dxa"/>
          </w:tcPr>
          <w:p w:rsidR="003A38FF" w:rsidRPr="00EC1F29" w:rsidRDefault="003A38FF" w:rsidP="003A38FF">
            <w:pPr>
              <w:rPr>
                <w:sz w:val="18"/>
                <w:szCs w:val="18"/>
              </w:rPr>
            </w:pPr>
            <w:r w:rsidRPr="00EC1F29">
              <w:rPr>
                <w:sz w:val="18"/>
                <w:szCs w:val="18"/>
              </w:rPr>
              <w:t>Henderson, Jim</w:t>
            </w:r>
          </w:p>
        </w:tc>
      </w:tr>
      <w:tr w:rsidR="00B06AC6" w:rsidRPr="00EC1F29" w:rsidTr="003A38FF">
        <w:tc>
          <w:tcPr>
            <w:tcW w:w="2574" w:type="dxa"/>
          </w:tcPr>
          <w:p w:rsidR="00B06AC6" w:rsidRPr="00EC1F29" w:rsidRDefault="00B06AC6" w:rsidP="003A38FF">
            <w:pPr>
              <w:rPr>
                <w:sz w:val="18"/>
                <w:szCs w:val="18"/>
              </w:rPr>
            </w:pPr>
          </w:p>
        </w:tc>
        <w:tc>
          <w:tcPr>
            <w:tcW w:w="2574" w:type="dxa"/>
          </w:tcPr>
          <w:p w:rsidR="00B06AC6" w:rsidRDefault="00B06AC6" w:rsidP="003A38FF">
            <w:pPr>
              <w:rPr>
                <w:sz w:val="18"/>
                <w:szCs w:val="18"/>
              </w:rPr>
            </w:pPr>
            <w:r>
              <w:rPr>
                <w:sz w:val="18"/>
                <w:szCs w:val="18"/>
              </w:rPr>
              <w:t>Rowan, Lynne</w:t>
            </w:r>
          </w:p>
        </w:tc>
        <w:tc>
          <w:tcPr>
            <w:tcW w:w="2574" w:type="dxa"/>
          </w:tcPr>
          <w:p w:rsidR="00B06AC6" w:rsidRPr="00EC1F29" w:rsidRDefault="00B06AC6" w:rsidP="003A38FF">
            <w:pPr>
              <w:rPr>
                <w:sz w:val="18"/>
                <w:szCs w:val="18"/>
              </w:rPr>
            </w:pPr>
          </w:p>
        </w:tc>
        <w:tc>
          <w:tcPr>
            <w:tcW w:w="2574" w:type="dxa"/>
          </w:tcPr>
          <w:p w:rsidR="00B06AC6" w:rsidRPr="00EC1F29" w:rsidRDefault="00B06AC6" w:rsidP="004A5D83">
            <w:pPr>
              <w:rPr>
                <w:sz w:val="18"/>
                <w:szCs w:val="18"/>
              </w:rPr>
            </w:pPr>
            <w:r>
              <w:rPr>
                <w:sz w:val="18"/>
                <w:szCs w:val="18"/>
              </w:rPr>
              <w:t>Mitchell, Stephen</w:t>
            </w:r>
          </w:p>
        </w:tc>
      </w:tr>
      <w:tr w:rsidR="00B06AC6" w:rsidRPr="00EC1F29" w:rsidTr="003A38FF">
        <w:tc>
          <w:tcPr>
            <w:tcW w:w="2574" w:type="dxa"/>
          </w:tcPr>
          <w:p w:rsidR="00B06AC6" w:rsidRPr="00EC1F29" w:rsidRDefault="00B06AC6" w:rsidP="003A38FF">
            <w:pPr>
              <w:rPr>
                <w:sz w:val="18"/>
                <w:szCs w:val="18"/>
              </w:rPr>
            </w:pPr>
          </w:p>
        </w:tc>
        <w:tc>
          <w:tcPr>
            <w:tcW w:w="2574" w:type="dxa"/>
          </w:tcPr>
          <w:p w:rsidR="00B06AC6" w:rsidRDefault="00B06AC6" w:rsidP="003A38FF">
            <w:pPr>
              <w:rPr>
                <w:sz w:val="18"/>
                <w:szCs w:val="18"/>
              </w:rPr>
            </w:pPr>
          </w:p>
        </w:tc>
        <w:tc>
          <w:tcPr>
            <w:tcW w:w="2574" w:type="dxa"/>
          </w:tcPr>
          <w:p w:rsidR="00B06AC6" w:rsidRPr="00EC1F29" w:rsidRDefault="00B06AC6" w:rsidP="003A38FF">
            <w:pPr>
              <w:rPr>
                <w:sz w:val="18"/>
                <w:szCs w:val="18"/>
              </w:rPr>
            </w:pPr>
          </w:p>
        </w:tc>
        <w:tc>
          <w:tcPr>
            <w:tcW w:w="2574" w:type="dxa"/>
          </w:tcPr>
          <w:p w:rsidR="00B06AC6" w:rsidRPr="00EC1F29" w:rsidRDefault="00B06AC6" w:rsidP="004A5D83">
            <w:pPr>
              <w:rPr>
                <w:sz w:val="18"/>
                <w:szCs w:val="18"/>
              </w:rPr>
            </w:pPr>
            <w:r w:rsidRPr="00EC1F29">
              <w:rPr>
                <w:sz w:val="18"/>
                <w:szCs w:val="18"/>
              </w:rPr>
              <w:t>O’Connor, Pat</w:t>
            </w:r>
          </w:p>
        </w:tc>
      </w:tr>
    </w:tbl>
    <w:p w:rsidR="003A38FF" w:rsidRDefault="003A38FF" w:rsidP="003A38FF">
      <w:pPr>
        <w:rPr>
          <w:sz w:val="18"/>
          <w:szCs w:val="18"/>
        </w:rPr>
      </w:pPr>
      <w:r w:rsidRPr="00BB3F7E">
        <w:rPr>
          <w:sz w:val="18"/>
          <w:szCs w:val="18"/>
        </w:rPr>
        <w:t>GUESTS:</w:t>
      </w:r>
      <w:r>
        <w:rPr>
          <w:sz w:val="18"/>
          <w:szCs w:val="18"/>
        </w:rPr>
        <w:t xml:space="preserve">  None</w:t>
      </w:r>
    </w:p>
    <w:p w:rsidR="00661B95" w:rsidRDefault="00661B95" w:rsidP="00661B95"/>
    <w:tbl>
      <w:tblPr>
        <w:tblStyle w:val="TableGrid"/>
        <w:tblW w:w="0" w:type="auto"/>
        <w:tblLook w:val="04A0" w:firstRow="1" w:lastRow="0" w:firstColumn="1" w:lastColumn="0" w:noHBand="0" w:noVBand="1"/>
      </w:tblPr>
      <w:tblGrid>
        <w:gridCol w:w="2448"/>
        <w:gridCol w:w="5670"/>
        <w:gridCol w:w="2178"/>
      </w:tblGrid>
      <w:tr w:rsidR="00661B95" w:rsidTr="00285CB0">
        <w:tc>
          <w:tcPr>
            <w:tcW w:w="2448" w:type="dxa"/>
          </w:tcPr>
          <w:p w:rsidR="00661B95" w:rsidRPr="00661B95" w:rsidRDefault="00661B95" w:rsidP="00661B95">
            <w:pPr>
              <w:rPr>
                <w:b/>
              </w:rPr>
            </w:pPr>
            <w:r>
              <w:rPr>
                <w:b/>
              </w:rPr>
              <w:t>AGENDA ITEM</w:t>
            </w:r>
          </w:p>
        </w:tc>
        <w:tc>
          <w:tcPr>
            <w:tcW w:w="5670" w:type="dxa"/>
          </w:tcPr>
          <w:p w:rsidR="00661B95" w:rsidRPr="00661B95" w:rsidRDefault="00661B95" w:rsidP="00661B95">
            <w:pPr>
              <w:jc w:val="center"/>
              <w:rPr>
                <w:b/>
              </w:rPr>
            </w:pPr>
            <w:r w:rsidRPr="00661B95">
              <w:rPr>
                <w:b/>
              </w:rPr>
              <w:t>DISCUSSION</w:t>
            </w:r>
          </w:p>
        </w:tc>
        <w:tc>
          <w:tcPr>
            <w:tcW w:w="2178" w:type="dxa"/>
          </w:tcPr>
          <w:p w:rsidR="00661B95" w:rsidRPr="00661B95" w:rsidRDefault="00661B95" w:rsidP="00661B95">
            <w:pPr>
              <w:jc w:val="center"/>
              <w:rPr>
                <w:b/>
              </w:rPr>
            </w:pPr>
            <w:r>
              <w:rPr>
                <w:b/>
              </w:rPr>
              <w:t>ACTION TAKEN</w:t>
            </w:r>
          </w:p>
        </w:tc>
      </w:tr>
      <w:tr w:rsidR="00661B95" w:rsidTr="00285CB0">
        <w:tc>
          <w:tcPr>
            <w:tcW w:w="2448" w:type="dxa"/>
          </w:tcPr>
          <w:p w:rsidR="00661B95" w:rsidRDefault="00820DF4" w:rsidP="00661B95">
            <w:r>
              <w:t>Meeting Frequency &amp; Forma</w:t>
            </w:r>
            <w:r w:rsidR="00BE7F77">
              <w:t>tting</w:t>
            </w:r>
          </w:p>
        </w:tc>
        <w:tc>
          <w:tcPr>
            <w:tcW w:w="5670" w:type="dxa"/>
          </w:tcPr>
          <w:p w:rsidR="00661B95" w:rsidRPr="00661B95" w:rsidRDefault="002A460D" w:rsidP="002A460D">
            <w:r>
              <w:t>Dr.</w:t>
            </w:r>
            <w:r w:rsidR="00BE7F77">
              <w:t xml:space="preserve"> Hackney</w:t>
            </w:r>
            <w:r w:rsidR="00076C41">
              <w:t xml:space="preserve"> welcomed the group and asked their feeling on the necessity of regular monthly meetings.   </w:t>
            </w:r>
            <w:r w:rsidR="00BE7F77">
              <w:t>It was agreed by</w:t>
            </w:r>
            <w:r w:rsidR="00D836E0">
              <w:t xml:space="preserve"> the majority </w:t>
            </w:r>
            <w:r w:rsidR="00BE7F77">
              <w:t xml:space="preserve">that </w:t>
            </w:r>
            <w:r>
              <w:t xml:space="preserve">sharing the majority of the </w:t>
            </w:r>
            <w:r w:rsidR="00BE7F77">
              <w:t>information via a memo or email</w:t>
            </w:r>
            <w:r w:rsidR="00997871">
              <w:t xml:space="preserve"> would</w:t>
            </w:r>
            <w:r w:rsidR="00BE7F77">
              <w:t xml:space="preserve"> be preferable.  The dates and times will be kept as </w:t>
            </w:r>
            <w:r w:rsidR="00D836E0">
              <w:t xml:space="preserve">currently scheduled.  </w:t>
            </w:r>
            <w:r w:rsidR="00997871">
              <w:t>Dr. Hackney w</w:t>
            </w:r>
            <w:r w:rsidR="00D836E0">
              <w:t>ill determine</w:t>
            </w:r>
            <w:r w:rsidR="00997871">
              <w:t xml:space="preserve"> each month</w:t>
            </w:r>
            <w:r w:rsidR="00D836E0">
              <w:t xml:space="preserve"> </w:t>
            </w:r>
            <w:r w:rsidR="00BE7F77">
              <w:t xml:space="preserve">if there is </w:t>
            </w:r>
            <w:r w:rsidR="00D836E0">
              <w:t>a</w:t>
            </w:r>
            <w:r w:rsidR="00BE7F77">
              <w:t xml:space="preserve"> need</w:t>
            </w:r>
            <w:r w:rsidR="00D836E0">
              <w:t xml:space="preserve"> to meet face to face.  If not, t</w:t>
            </w:r>
            <w:r w:rsidR="00BE7F77">
              <w:t>he meeting</w:t>
            </w:r>
            <w:r w:rsidR="00D836E0">
              <w:t xml:space="preserve"> for that month </w:t>
            </w:r>
            <w:r w:rsidR="00BE7F77">
              <w:t>will be canceled</w:t>
            </w:r>
            <w:r w:rsidR="00D836E0">
              <w:t xml:space="preserve"> and any necessary information will be disseminated electronically</w:t>
            </w:r>
            <w:r w:rsidR="00BE7F77">
              <w:t xml:space="preserve">.  Luci will look at alternative rooms for the meeting.  </w:t>
            </w:r>
            <w:r w:rsidR="00D836E0">
              <w:t>The d</w:t>
            </w:r>
            <w:r w:rsidR="004E6FEB">
              <w:t>ecision regarding the meeting will be made the Friday prior to the set meeting.</w:t>
            </w:r>
          </w:p>
        </w:tc>
        <w:tc>
          <w:tcPr>
            <w:tcW w:w="2178" w:type="dxa"/>
          </w:tcPr>
          <w:p w:rsidR="00661B95" w:rsidRDefault="004E6FEB" w:rsidP="00661B95">
            <w:r>
              <w:t>Luci will look at alternative rooms</w:t>
            </w:r>
            <w:r w:rsidR="00D8723C">
              <w:t xml:space="preserve"> for the meetings when they are held</w:t>
            </w:r>
            <w:r>
              <w:t xml:space="preserve">.  </w:t>
            </w:r>
          </w:p>
        </w:tc>
      </w:tr>
      <w:tr w:rsidR="00661B95" w:rsidTr="00285CB0">
        <w:tc>
          <w:tcPr>
            <w:tcW w:w="2448" w:type="dxa"/>
          </w:tcPr>
          <w:p w:rsidR="00661B95" w:rsidRDefault="00820DF4" w:rsidP="00661B95">
            <w:r>
              <w:t>New Plagiarism Policy Discussion</w:t>
            </w:r>
          </w:p>
        </w:tc>
        <w:tc>
          <w:tcPr>
            <w:tcW w:w="5670" w:type="dxa"/>
          </w:tcPr>
          <w:p w:rsidR="00661B95" w:rsidRDefault="00D836E0" w:rsidP="00D836E0">
            <w:r>
              <w:t>T</w:t>
            </w:r>
            <w:r w:rsidR="004E6FEB">
              <w:t>his</w:t>
            </w:r>
            <w:r>
              <w:t xml:space="preserve"> has passed through all channels and is now </w:t>
            </w:r>
            <w:r w:rsidR="004E6FEB">
              <w:t>policy</w:t>
            </w:r>
            <w:r>
              <w:t>.</w:t>
            </w:r>
            <w:r w:rsidR="004E6FEB">
              <w:t xml:space="preserve"> There was much discussion among the group. </w:t>
            </w:r>
          </w:p>
        </w:tc>
        <w:tc>
          <w:tcPr>
            <w:tcW w:w="2178" w:type="dxa"/>
          </w:tcPr>
          <w:p w:rsidR="00661B95" w:rsidRDefault="00661B95" w:rsidP="00661B95"/>
        </w:tc>
      </w:tr>
      <w:tr w:rsidR="00661B95" w:rsidTr="00285CB0">
        <w:tc>
          <w:tcPr>
            <w:tcW w:w="2448" w:type="dxa"/>
          </w:tcPr>
          <w:p w:rsidR="00661B95" w:rsidRDefault="00820DF4" w:rsidP="00820DF4">
            <w:r>
              <w:t>E. Glickman’s Dissertation Format Change Proposal – Suggestions &amp; Discussion</w:t>
            </w:r>
          </w:p>
        </w:tc>
        <w:tc>
          <w:tcPr>
            <w:tcW w:w="5670" w:type="dxa"/>
          </w:tcPr>
          <w:p w:rsidR="00661B95" w:rsidRDefault="00997871" w:rsidP="006A31C0">
            <w:r>
              <w:t>Dr.</w:t>
            </w:r>
            <w:r w:rsidR="00CD3800">
              <w:t xml:space="preserve"> Glickman presented the group</w:t>
            </w:r>
            <w:r w:rsidR="00D836E0">
              <w:t xml:space="preserve"> with</w:t>
            </w:r>
            <w:r w:rsidR="00CD3800">
              <w:t xml:space="preserve"> the </w:t>
            </w:r>
            <w:r w:rsidR="00D836E0">
              <w:t xml:space="preserve">current </w:t>
            </w:r>
            <w:r w:rsidR="00CD3800">
              <w:t xml:space="preserve">HDFS format </w:t>
            </w:r>
            <w:r w:rsidR="00D836E0">
              <w:t>used for thesis</w:t>
            </w:r>
            <w:r>
              <w:t xml:space="preserve"> and</w:t>
            </w:r>
            <w:r w:rsidR="00D836E0">
              <w:t xml:space="preserve"> su</w:t>
            </w:r>
            <w:r w:rsidR="00CD3800">
              <w:t>ggest</w:t>
            </w:r>
            <w:r>
              <w:t>ed</w:t>
            </w:r>
            <w:r w:rsidR="00D836E0">
              <w:t xml:space="preserve"> </w:t>
            </w:r>
            <w:r w:rsidR="00CD3800">
              <w:t xml:space="preserve">that it be an option for other programs for dissertations.  There was discussion on how using this format would affect the depth of dissertations.  </w:t>
            </w:r>
            <w:r>
              <w:t xml:space="preserve">Dr. </w:t>
            </w:r>
            <w:r w:rsidR="00CD3800">
              <w:t>Glickman explained that this would be an option for each program and not the only choice.  There was discussion on how this format would be differentiated between thesis and dissertation.  It was suggested that only one article would be mandatory</w:t>
            </w:r>
            <w:r>
              <w:t xml:space="preserve"> for the thesis</w:t>
            </w:r>
            <w:r w:rsidR="00CD3800">
              <w:t xml:space="preserve">.  </w:t>
            </w:r>
            <w:r w:rsidR="0097279D">
              <w:t xml:space="preserve">There was </w:t>
            </w:r>
            <w:r>
              <w:t xml:space="preserve">discussion </w:t>
            </w:r>
            <w:r w:rsidR="0097279D">
              <w:t xml:space="preserve">whether this should be </w:t>
            </w:r>
            <w:r w:rsidR="0097279D">
              <w:lastRenderedPageBreak/>
              <w:t xml:space="preserve">a decision to be made at the college level or at the </w:t>
            </w:r>
            <w:r w:rsidR="006A31C0">
              <w:t>school</w:t>
            </w:r>
            <w:r w:rsidR="0097279D">
              <w:t xml:space="preserve"> level.  </w:t>
            </w:r>
            <w:r>
              <w:t>I</w:t>
            </w:r>
            <w:r w:rsidR="00E960AF">
              <w:t xml:space="preserve">f the college goes to an EDD it would </w:t>
            </w:r>
            <w:r>
              <w:t xml:space="preserve">also </w:t>
            </w:r>
            <w:r w:rsidR="00E960AF">
              <w:t xml:space="preserve">be more toward this type of format. </w:t>
            </w:r>
          </w:p>
          <w:p w:rsidR="00C92441" w:rsidRDefault="00C92441" w:rsidP="006A31C0"/>
          <w:p w:rsidR="007553E0" w:rsidRDefault="003D1D74" w:rsidP="003D1D74">
            <w:r>
              <w:t>It was s</w:t>
            </w:r>
            <w:r w:rsidR="00C92441">
              <w:t>uggested</w:t>
            </w:r>
            <w:r>
              <w:t xml:space="preserve"> the following statement be placed in the College </w:t>
            </w:r>
            <w:r w:rsidR="00C92441">
              <w:t xml:space="preserve">Handbook:  </w:t>
            </w:r>
          </w:p>
          <w:p w:rsidR="007553E0" w:rsidRDefault="007553E0" w:rsidP="003D1D74"/>
          <w:p w:rsidR="00C92441" w:rsidRDefault="00C92441" w:rsidP="003D1D74">
            <w:r w:rsidRPr="00997871">
              <w:rPr>
                <w:b/>
              </w:rPr>
              <w:t xml:space="preserve">Each program must develop a policy to be followed by their students. </w:t>
            </w:r>
          </w:p>
          <w:p w:rsidR="001B5FD7" w:rsidRDefault="001B5FD7" w:rsidP="003D1D74"/>
          <w:p w:rsidR="001B5FD7" w:rsidRDefault="001B5FD7" w:rsidP="003D1D74">
            <w:r>
              <w:t xml:space="preserve">There was much discussion of the pros and cons of this type of dissertation and policy. </w:t>
            </w:r>
            <w:r w:rsidR="00740193">
              <w:t xml:space="preserve"> </w:t>
            </w:r>
            <w:r w:rsidR="00997871">
              <w:t>Dr.</w:t>
            </w:r>
            <w:r w:rsidR="00740193">
              <w:t xml:space="preserve"> Glickman shared that this would be advantageous for both the student and the advisor or mentor.</w:t>
            </w:r>
            <w:r w:rsidR="003E5351">
              <w:t xml:space="preserve">  </w:t>
            </w:r>
            <w:r w:rsidR="00997871">
              <w:t>Dr.</w:t>
            </w:r>
            <w:r w:rsidR="003E5351">
              <w:t xml:space="preserve"> Hackney shared that it would still be important for the advisors to make sure that the rigor is maintained at a high level.  </w:t>
            </w:r>
          </w:p>
          <w:p w:rsidR="00362ECD" w:rsidRDefault="00362ECD" w:rsidP="003D1D74"/>
          <w:p w:rsidR="00362ECD" w:rsidRDefault="00362ECD" w:rsidP="003D1D74">
            <w:r>
              <w:t>It was requested that the dissertation format be changed to</w:t>
            </w:r>
            <w:r w:rsidR="00997871">
              <w:t xml:space="preserve"> allow</w:t>
            </w:r>
            <w:r>
              <w:t xml:space="preserve"> page numbers </w:t>
            </w:r>
            <w:r w:rsidR="00997871">
              <w:t xml:space="preserve">to remain at the bottom center </w:t>
            </w:r>
            <w:r>
              <w:t xml:space="preserve">throughout the </w:t>
            </w:r>
            <w:r w:rsidR="00997871">
              <w:t xml:space="preserve">entire </w:t>
            </w:r>
            <w:r>
              <w:t>document</w:t>
            </w:r>
            <w:r w:rsidR="00537BB1">
              <w:t>.</w:t>
            </w:r>
          </w:p>
          <w:p w:rsidR="00362ECD" w:rsidRDefault="00362ECD" w:rsidP="003D1D74"/>
          <w:p w:rsidR="00362ECD" w:rsidRDefault="00DC643B" w:rsidP="003D1D74">
            <w:r>
              <w:t>Jason McGlothlin pr</w:t>
            </w:r>
            <w:r w:rsidR="007553E0">
              <w:t>oposed</w:t>
            </w:r>
            <w:r>
              <w:t xml:space="preserve"> the following statement</w:t>
            </w:r>
            <w:r w:rsidR="004B198F">
              <w:t xml:space="preserve"> also </w:t>
            </w:r>
            <w:r w:rsidR="00362ECD">
              <w:t xml:space="preserve">be added to </w:t>
            </w:r>
            <w:r>
              <w:t xml:space="preserve">Graduate </w:t>
            </w:r>
            <w:r w:rsidR="00362ECD">
              <w:t>Handbook</w:t>
            </w:r>
            <w:r w:rsidR="004B198F">
              <w:t>:</w:t>
            </w:r>
          </w:p>
          <w:p w:rsidR="00362ECD" w:rsidRDefault="00362ECD" w:rsidP="003D1D74"/>
          <w:p w:rsidR="00362ECD" w:rsidRPr="004B198F" w:rsidRDefault="00362ECD" w:rsidP="003D1D74">
            <w:pPr>
              <w:rPr>
                <w:b/>
              </w:rPr>
            </w:pPr>
            <w:r w:rsidRPr="004B198F">
              <w:rPr>
                <w:b/>
              </w:rPr>
              <w:t xml:space="preserve">Students are directed to follow the policies developed by their specific program area with regard to formatting.  </w:t>
            </w:r>
          </w:p>
          <w:p w:rsidR="0022371C" w:rsidRDefault="0022371C" w:rsidP="003D1D74"/>
          <w:p w:rsidR="0022371C" w:rsidRDefault="004B198F" w:rsidP="003D1D74">
            <w:r>
              <w:t xml:space="preserve">Dr. </w:t>
            </w:r>
            <w:r w:rsidR="00DC643B">
              <w:t>Glickman</w:t>
            </w:r>
            <w:r w:rsidR="0022371C">
              <w:t xml:space="preserve"> – made a motion to be </w:t>
            </w:r>
            <w:r w:rsidR="007553E0">
              <w:t>allowed</w:t>
            </w:r>
            <w:r w:rsidR="0022371C">
              <w:t xml:space="preserve"> to change the structure of dissertations to reflect a format desired by the program.</w:t>
            </w:r>
            <w:r w:rsidR="00DC643B">
              <w:t xml:space="preserve">  Motion passed unanimously</w:t>
            </w:r>
          </w:p>
          <w:p w:rsidR="00786D71" w:rsidRDefault="00786D71" w:rsidP="003D1D74"/>
          <w:p w:rsidR="00786D71" w:rsidRDefault="00786D71" w:rsidP="003D1D74">
            <w:r>
              <w:t xml:space="preserve">There was much discussion regarding the Guidelines for the Preparation of Theses and Dissertations.  This document will be reviewed to see what is absolutely necessary.  </w:t>
            </w:r>
          </w:p>
        </w:tc>
        <w:tc>
          <w:tcPr>
            <w:tcW w:w="2178" w:type="dxa"/>
          </w:tcPr>
          <w:p w:rsidR="00661B95" w:rsidRDefault="00661B95"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86D71" w:rsidRDefault="00786D71" w:rsidP="00661B95"/>
          <w:p w:rsidR="007553E0" w:rsidRDefault="007553E0" w:rsidP="00DE670C"/>
          <w:p w:rsidR="007553E0" w:rsidRDefault="007553E0" w:rsidP="00DE670C"/>
          <w:p w:rsidR="00786D71" w:rsidRDefault="00786D71" w:rsidP="00DE670C">
            <w:r>
              <w:t xml:space="preserve">Luci will </w:t>
            </w:r>
            <w:r w:rsidR="00DE670C">
              <w:t xml:space="preserve">determine if </w:t>
            </w:r>
            <w:r>
              <w:t xml:space="preserve">UMI has </w:t>
            </w:r>
            <w:r w:rsidR="00DE670C">
              <w:t xml:space="preserve">and standard formatting </w:t>
            </w:r>
            <w:r>
              <w:t>requirements.</w:t>
            </w:r>
          </w:p>
        </w:tc>
      </w:tr>
      <w:tr w:rsidR="00D31FDB" w:rsidTr="003A38FF">
        <w:tc>
          <w:tcPr>
            <w:tcW w:w="10296" w:type="dxa"/>
            <w:gridSpan w:val="3"/>
          </w:tcPr>
          <w:p w:rsidR="00D31FDB" w:rsidRPr="00D31FDB" w:rsidRDefault="00D31FDB" w:rsidP="00661B95">
            <w:pPr>
              <w:rPr>
                <w:b/>
              </w:rPr>
            </w:pPr>
            <w:r>
              <w:rPr>
                <w:b/>
              </w:rPr>
              <w:lastRenderedPageBreak/>
              <w:t>EDUCATION FACULTY ONLY</w:t>
            </w:r>
          </w:p>
        </w:tc>
      </w:tr>
      <w:tr w:rsidR="00285CB0" w:rsidTr="00285CB0">
        <w:tc>
          <w:tcPr>
            <w:tcW w:w="2448" w:type="dxa"/>
          </w:tcPr>
          <w:p w:rsidR="00285CB0" w:rsidRDefault="00D31FDB" w:rsidP="001E5E77">
            <w:r>
              <w:t>Data Dialogue Day Agenda</w:t>
            </w:r>
          </w:p>
        </w:tc>
        <w:tc>
          <w:tcPr>
            <w:tcW w:w="5670" w:type="dxa"/>
          </w:tcPr>
          <w:p w:rsidR="00933313" w:rsidRDefault="00AE46F4" w:rsidP="00661B95">
            <w:r>
              <w:t>Dr.</w:t>
            </w:r>
            <w:r w:rsidR="00933313">
              <w:t xml:space="preserve"> Hackney explained what </w:t>
            </w:r>
            <w:r>
              <w:t>D</w:t>
            </w:r>
            <w:r w:rsidR="00933313">
              <w:t xml:space="preserve">ata Dialogue Day will involve and shared documents that will need to be completed.  She asked that the coordinators discuss the </w:t>
            </w:r>
            <w:r>
              <w:t xml:space="preserve">three (3) </w:t>
            </w:r>
            <w:r w:rsidR="00933313">
              <w:t>areas on the data sheets with their faculty and the information be brought back to her.</w:t>
            </w:r>
            <w:r>
              <w:t xml:space="preserve"> </w:t>
            </w:r>
            <w:r w:rsidR="00933313">
              <w:t xml:space="preserve">The three </w:t>
            </w:r>
            <w:r>
              <w:t xml:space="preserve">data sheets </w:t>
            </w:r>
            <w:r w:rsidR="00933313">
              <w:t xml:space="preserve">were discussed and explained.  </w:t>
            </w:r>
            <w:r>
              <w:t>T</w:t>
            </w:r>
            <w:r w:rsidR="00154837">
              <w:t>hese are used to assess the Graduate Programs</w:t>
            </w:r>
            <w:r w:rsidR="00312022">
              <w:t xml:space="preserve"> in the various areas</w:t>
            </w:r>
            <w:r w:rsidR="00154837">
              <w:t>.</w:t>
            </w:r>
            <w:r w:rsidR="00312022">
              <w:t xml:space="preserve">  </w:t>
            </w:r>
            <w:r>
              <w:t>C</w:t>
            </w:r>
            <w:r w:rsidR="00312022">
              <w:t xml:space="preserve">oordinators </w:t>
            </w:r>
            <w:r>
              <w:t xml:space="preserve">are </w:t>
            </w:r>
            <w:r w:rsidR="00312022">
              <w:t xml:space="preserve">to complete the Standard 3 target areas and </w:t>
            </w:r>
            <w:r w:rsidR="00265E6B">
              <w:t>the Assessment</w:t>
            </w:r>
            <w:r w:rsidR="00312022">
              <w:t xml:space="preserve"> for Effect.</w:t>
            </w:r>
            <w:r w:rsidR="00154837">
              <w:t xml:space="preserve">  </w:t>
            </w:r>
            <w:r w:rsidR="00265E6B">
              <w:t>There was much discussion on type of data being requested and the various areas of the charts.</w:t>
            </w:r>
          </w:p>
          <w:p w:rsidR="00EE6E86" w:rsidRDefault="00EE6E86" w:rsidP="00661B95"/>
          <w:p w:rsidR="00EE6E86" w:rsidRDefault="00AE46F4" w:rsidP="00AE46F4">
            <w:r>
              <w:lastRenderedPageBreak/>
              <w:t>Dr.</w:t>
            </w:r>
            <w:r w:rsidR="00EE6E86">
              <w:t xml:space="preserve"> Hackney </w:t>
            </w:r>
            <w:r>
              <w:t xml:space="preserve">requested the data sheets </w:t>
            </w:r>
            <w:r w:rsidR="00EE6E86">
              <w:t xml:space="preserve">be completed and </w:t>
            </w:r>
            <w:r>
              <w:t>returned</w:t>
            </w:r>
            <w:r w:rsidR="00EE6E86">
              <w:t xml:space="preserve"> to her by February</w:t>
            </w:r>
            <w:r w:rsidR="009E1602">
              <w:t xml:space="preserve"> 15, 2013</w:t>
            </w:r>
            <w:r w:rsidR="00EE6E86">
              <w:t xml:space="preserve">.  </w:t>
            </w:r>
            <w:r>
              <w:t>T</w:t>
            </w:r>
            <w:r w:rsidR="00EE6E86">
              <w:t>his information needs to be discussed with the program faculty and the information developed.</w:t>
            </w:r>
            <w:r w:rsidR="00325E41">
              <w:t xml:space="preserve">  The di</w:t>
            </w:r>
            <w:r>
              <w:t>s</w:t>
            </w:r>
            <w:r w:rsidR="00325E41">
              <w:t>cussion allowed the various coordinators to understand more clearly what information is being expected and how the information required relates to their individual program.</w:t>
            </w:r>
          </w:p>
        </w:tc>
        <w:tc>
          <w:tcPr>
            <w:tcW w:w="2178" w:type="dxa"/>
          </w:tcPr>
          <w:p w:rsidR="00285CB0" w:rsidRDefault="00285CB0" w:rsidP="00661B95"/>
        </w:tc>
      </w:tr>
      <w:tr w:rsidR="00D31FDB" w:rsidTr="00285CB0">
        <w:tc>
          <w:tcPr>
            <w:tcW w:w="2448" w:type="dxa"/>
          </w:tcPr>
          <w:p w:rsidR="00D31FDB" w:rsidRDefault="00D31FDB" w:rsidP="001E5E77">
            <w:r>
              <w:lastRenderedPageBreak/>
              <w:t>Disposition Assessments</w:t>
            </w:r>
          </w:p>
        </w:tc>
        <w:tc>
          <w:tcPr>
            <w:tcW w:w="5670" w:type="dxa"/>
          </w:tcPr>
          <w:p w:rsidR="00D31FDB" w:rsidRDefault="00D31FDB" w:rsidP="00661B95"/>
        </w:tc>
        <w:tc>
          <w:tcPr>
            <w:tcW w:w="2178" w:type="dxa"/>
          </w:tcPr>
          <w:p w:rsidR="00D31FDB" w:rsidRDefault="00D31FDB" w:rsidP="00661B95"/>
        </w:tc>
      </w:tr>
      <w:tr w:rsidR="00D31FDB" w:rsidTr="00285CB0">
        <w:tc>
          <w:tcPr>
            <w:tcW w:w="2448" w:type="dxa"/>
          </w:tcPr>
          <w:p w:rsidR="00D31FDB" w:rsidRDefault="00D31FDB" w:rsidP="001E5E77">
            <w:r>
              <w:t>Student Learning</w:t>
            </w:r>
          </w:p>
        </w:tc>
        <w:tc>
          <w:tcPr>
            <w:tcW w:w="5670" w:type="dxa"/>
          </w:tcPr>
          <w:p w:rsidR="00D31FDB" w:rsidRDefault="00D31FDB" w:rsidP="00661B95"/>
        </w:tc>
        <w:tc>
          <w:tcPr>
            <w:tcW w:w="2178" w:type="dxa"/>
          </w:tcPr>
          <w:p w:rsidR="00D31FDB" w:rsidRDefault="00D31FDB" w:rsidP="00661B95"/>
        </w:tc>
      </w:tr>
      <w:tr w:rsidR="00D31FDB" w:rsidTr="00285CB0">
        <w:tc>
          <w:tcPr>
            <w:tcW w:w="2448" w:type="dxa"/>
          </w:tcPr>
          <w:p w:rsidR="00D31FDB" w:rsidRDefault="00D31FDB" w:rsidP="001E5E77">
            <w:r>
              <w:t>Internship</w:t>
            </w:r>
          </w:p>
        </w:tc>
        <w:tc>
          <w:tcPr>
            <w:tcW w:w="5670" w:type="dxa"/>
          </w:tcPr>
          <w:p w:rsidR="00D31FDB" w:rsidRDefault="00D31FDB" w:rsidP="00661B95"/>
        </w:tc>
        <w:tc>
          <w:tcPr>
            <w:tcW w:w="2178" w:type="dxa"/>
          </w:tcPr>
          <w:p w:rsidR="00D31FDB" w:rsidRDefault="00D31FDB" w:rsidP="00661B95"/>
        </w:tc>
      </w:tr>
    </w:tbl>
    <w:p w:rsidR="00661B95" w:rsidRDefault="00661B95" w:rsidP="00661B95"/>
    <w:p w:rsidR="00661B95" w:rsidRDefault="00661B95" w:rsidP="00661B95">
      <w:r>
        <w:t>The meeting was adjourned at</w:t>
      </w:r>
      <w:r w:rsidR="00AE46F4">
        <w:t xml:space="preserve"> 11:30 am</w:t>
      </w:r>
    </w:p>
    <w:p w:rsidR="00661B95" w:rsidRPr="008C0AC9" w:rsidRDefault="00661B95" w:rsidP="00661B95">
      <w:pPr>
        <w:rPr>
          <w:b/>
        </w:rPr>
      </w:pPr>
      <w:r>
        <w:t>Next meeting:</w:t>
      </w:r>
      <w:r w:rsidR="008C0AC9">
        <w:t xml:space="preserve">  </w:t>
      </w:r>
      <w:r w:rsidR="00CC5AF8">
        <w:t xml:space="preserve"> </w:t>
      </w:r>
      <w:r w:rsidR="00CC5AF8" w:rsidRPr="00CC5AF8">
        <w:rPr>
          <w:b/>
        </w:rPr>
        <w:t>Friday, Nov. 30</w:t>
      </w:r>
      <w:r w:rsidR="00CC5AF8" w:rsidRPr="00CC5AF8">
        <w:rPr>
          <w:b/>
          <w:vertAlign w:val="superscript"/>
        </w:rPr>
        <w:t>th</w:t>
      </w:r>
      <w:r w:rsidR="00CC5AF8" w:rsidRPr="00CC5AF8">
        <w:rPr>
          <w:b/>
        </w:rPr>
        <w:t>, 10-11:15, WH Rm 217</w:t>
      </w:r>
    </w:p>
    <w:p w:rsidR="00661B95" w:rsidRDefault="00661B95" w:rsidP="00661B95"/>
    <w:p w:rsidR="00661B95" w:rsidRDefault="00661B95" w:rsidP="00661B95">
      <w:r>
        <w:t>Respectfully submitted</w:t>
      </w:r>
    </w:p>
    <w:p w:rsidR="00661B95" w:rsidRPr="00661B95" w:rsidRDefault="00661B95" w:rsidP="00661B95">
      <w:r>
        <w:t>Luci Wymer, Recorder</w:t>
      </w:r>
    </w:p>
    <w:sectPr w:rsidR="00661B95" w:rsidRPr="00661B95"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C1A59"/>
    <w:multiLevelType w:val="hybridMultilevel"/>
    <w:tmpl w:val="ECD4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76C41"/>
    <w:rsid w:val="00095ADB"/>
    <w:rsid w:val="000A4290"/>
    <w:rsid w:val="000B7DAF"/>
    <w:rsid w:val="00154837"/>
    <w:rsid w:val="001B5FD7"/>
    <w:rsid w:val="001E5E77"/>
    <w:rsid w:val="0020225C"/>
    <w:rsid w:val="0022371C"/>
    <w:rsid w:val="002451BA"/>
    <w:rsid w:val="00265E6B"/>
    <w:rsid w:val="00285CB0"/>
    <w:rsid w:val="002A460D"/>
    <w:rsid w:val="003078BA"/>
    <w:rsid w:val="00312022"/>
    <w:rsid w:val="00325E41"/>
    <w:rsid w:val="00362ECD"/>
    <w:rsid w:val="0037028F"/>
    <w:rsid w:val="003A38FF"/>
    <w:rsid w:val="003D1D74"/>
    <w:rsid w:val="003E5351"/>
    <w:rsid w:val="004035E6"/>
    <w:rsid w:val="004B198F"/>
    <w:rsid w:val="004E6FEB"/>
    <w:rsid w:val="00537BB1"/>
    <w:rsid w:val="0059197D"/>
    <w:rsid w:val="00661B95"/>
    <w:rsid w:val="006655C2"/>
    <w:rsid w:val="006A31C0"/>
    <w:rsid w:val="007057C5"/>
    <w:rsid w:val="00740193"/>
    <w:rsid w:val="007553E0"/>
    <w:rsid w:val="00762A58"/>
    <w:rsid w:val="00786D71"/>
    <w:rsid w:val="00820DF4"/>
    <w:rsid w:val="008C0AC9"/>
    <w:rsid w:val="00933313"/>
    <w:rsid w:val="00946DD8"/>
    <w:rsid w:val="0097279D"/>
    <w:rsid w:val="00997871"/>
    <w:rsid w:val="009E1602"/>
    <w:rsid w:val="00A16672"/>
    <w:rsid w:val="00A747C5"/>
    <w:rsid w:val="00AE46F4"/>
    <w:rsid w:val="00AF4305"/>
    <w:rsid w:val="00B06AC6"/>
    <w:rsid w:val="00B223A2"/>
    <w:rsid w:val="00BB45F7"/>
    <w:rsid w:val="00BE7F77"/>
    <w:rsid w:val="00C84FAC"/>
    <w:rsid w:val="00C92441"/>
    <w:rsid w:val="00CB2728"/>
    <w:rsid w:val="00CC5AF8"/>
    <w:rsid w:val="00CD3800"/>
    <w:rsid w:val="00D24AFC"/>
    <w:rsid w:val="00D31FDB"/>
    <w:rsid w:val="00D36765"/>
    <w:rsid w:val="00D836E0"/>
    <w:rsid w:val="00D8723C"/>
    <w:rsid w:val="00DC643B"/>
    <w:rsid w:val="00DE670C"/>
    <w:rsid w:val="00E960AF"/>
    <w:rsid w:val="00EE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5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641D-FF2C-4B89-AF6C-4A649D1D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3</cp:revision>
  <dcterms:created xsi:type="dcterms:W3CDTF">2012-11-06T17:49:00Z</dcterms:created>
  <dcterms:modified xsi:type="dcterms:W3CDTF">2012-11-06T19:17:00Z</dcterms:modified>
</cp:coreProperties>
</file>