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C2476F" w:rsidRDefault="007057C5" w:rsidP="00661B95">
      <w:pPr>
        <w:jc w:val="center"/>
        <w:rPr>
          <w:b/>
          <w:sz w:val="22"/>
        </w:rPr>
      </w:pPr>
      <w:r w:rsidRPr="00C2476F">
        <w:rPr>
          <w:b/>
          <w:sz w:val="22"/>
        </w:rPr>
        <w:t>GRADUATE PROGRAM COORDINATORS MEETING</w:t>
      </w:r>
    </w:p>
    <w:p w:rsidR="00661B95" w:rsidRPr="00C2476F" w:rsidRDefault="00D53313" w:rsidP="00661B95">
      <w:pPr>
        <w:jc w:val="center"/>
        <w:rPr>
          <w:b/>
          <w:sz w:val="22"/>
        </w:rPr>
      </w:pPr>
      <w:r w:rsidRPr="00C2476F">
        <w:rPr>
          <w:b/>
          <w:sz w:val="22"/>
        </w:rPr>
        <w:t>November 10, 2011</w:t>
      </w:r>
    </w:p>
    <w:p w:rsidR="00E913F2" w:rsidRDefault="00E913F2" w:rsidP="00E913F2">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1"/>
        <w:gridCol w:w="2505"/>
        <w:gridCol w:w="2580"/>
        <w:gridCol w:w="2572"/>
      </w:tblGrid>
      <w:tr w:rsidR="00E913F2" w:rsidRPr="00EC1F29" w:rsidTr="00E913F2">
        <w:trPr>
          <w:trHeight w:val="240"/>
        </w:trPr>
        <w:tc>
          <w:tcPr>
            <w:tcW w:w="2581" w:type="dxa"/>
          </w:tcPr>
          <w:p w:rsidR="00E913F2" w:rsidRPr="00EC1F29" w:rsidRDefault="00E913F2" w:rsidP="00E913F2">
            <w:pPr>
              <w:jc w:val="center"/>
              <w:rPr>
                <w:b/>
                <w:sz w:val="18"/>
                <w:szCs w:val="18"/>
              </w:rPr>
            </w:pPr>
            <w:r w:rsidRPr="00EC1F29">
              <w:rPr>
                <w:b/>
                <w:sz w:val="18"/>
                <w:szCs w:val="18"/>
              </w:rPr>
              <w:t>FLA</w:t>
            </w:r>
          </w:p>
        </w:tc>
        <w:tc>
          <w:tcPr>
            <w:tcW w:w="2505" w:type="dxa"/>
          </w:tcPr>
          <w:p w:rsidR="00E913F2" w:rsidRPr="00EC1F29" w:rsidRDefault="00E913F2" w:rsidP="00E913F2">
            <w:pPr>
              <w:jc w:val="center"/>
              <w:rPr>
                <w:b/>
                <w:sz w:val="18"/>
                <w:szCs w:val="18"/>
              </w:rPr>
            </w:pPr>
            <w:r w:rsidRPr="00EC1F29">
              <w:rPr>
                <w:b/>
                <w:sz w:val="18"/>
                <w:szCs w:val="18"/>
              </w:rPr>
              <w:t>HS</w:t>
            </w:r>
          </w:p>
        </w:tc>
        <w:tc>
          <w:tcPr>
            <w:tcW w:w="2580" w:type="dxa"/>
          </w:tcPr>
          <w:p w:rsidR="00E913F2" w:rsidRPr="00EC1F29" w:rsidRDefault="00E913F2" w:rsidP="00E913F2">
            <w:pPr>
              <w:jc w:val="center"/>
              <w:rPr>
                <w:b/>
                <w:sz w:val="18"/>
                <w:szCs w:val="18"/>
              </w:rPr>
            </w:pPr>
            <w:r w:rsidRPr="00EC1F29">
              <w:rPr>
                <w:b/>
                <w:sz w:val="18"/>
                <w:szCs w:val="18"/>
              </w:rPr>
              <w:t>LDES</w:t>
            </w:r>
          </w:p>
        </w:tc>
        <w:tc>
          <w:tcPr>
            <w:tcW w:w="2572" w:type="dxa"/>
          </w:tcPr>
          <w:p w:rsidR="00E913F2" w:rsidRPr="00EC1F29" w:rsidRDefault="00E913F2" w:rsidP="00E913F2">
            <w:pPr>
              <w:jc w:val="center"/>
              <w:rPr>
                <w:b/>
                <w:sz w:val="18"/>
                <w:szCs w:val="18"/>
              </w:rPr>
            </w:pPr>
            <w:r w:rsidRPr="00EC1F29">
              <w:rPr>
                <w:b/>
                <w:sz w:val="18"/>
                <w:szCs w:val="18"/>
              </w:rPr>
              <w:t>TLC</w:t>
            </w:r>
          </w:p>
        </w:tc>
      </w:tr>
      <w:tr w:rsidR="00E913F2" w:rsidRPr="00EC1F29" w:rsidTr="00E913F2">
        <w:trPr>
          <w:trHeight w:val="287"/>
        </w:trPr>
        <w:tc>
          <w:tcPr>
            <w:tcW w:w="2581" w:type="dxa"/>
            <w:shd w:val="clear" w:color="auto" w:fill="auto"/>
          </w:tcPr>
          <w:p w:rsidR="00E913F2" w:rsidRPr="00EC1F29" w:rsidRDefault="00E913F2" w:rsidP="00E913F2">
            <w:pPr>
              <w:rPr>
                <w:sz w:val="18"/>
                <w:szCs w:val="18"/>
              </w:rPr>
            </w:pPr>
            <w:r w:rsidRPr="00EC1F29">
              <w:rPr>
                <w:sz w:val="18"/>
                <w:szCs w:val="18"/>
              </w:rPr>
              <w:t>Hackney, Cathy</w:t>
            </w:r>
          </w:p>
        </w:tc>
        <w:tc>
          <w:tcPr>
            <w:tcW w:w="2505" w:type="dxa"/>
            <w:shd w:val="clear" w:color="auto" w:fill="auto"/>
          </w:tcPr>
          <w:p w:rsidR="00E913F2" w:rsidRPr="00EC1F29" w:rsidRDefault="00BA0768" w:rsidP="00E913F2">
            <w:pPr>
              <w:rPr>
                <w:sz w:val="18"/>
                <w:szCs w:val="18"/>
              </w:rPr>
            </w:pPr>
            <w:r w:rsidRPr="00EC1F29">
              <w:rPr>
                <w:sz w:val="18"/>
                <w:szCs w:val="18"/>
              </w:rPr>
              <w:t>Glickman, Ellen</w:t>
            </w:r>
          </w:p>
        </w:tc>
        <w:tc>
          <w:tcPr>
            <w:tcW w:w="2580" w:type="dxa"/>
            <w:shd w:val="clear" w:color="auto" w:fill="auto"/>
          </w:tcPr>
          <w:p w:rsidR="00E913F2" w:rsidRPr="00EC1F29" w:rsidRDefault="00995E04" w:rsidP="00E913F2">
            <w:pPr>
              <w:rPr>
                <w:sz w:val="18"/>
                <w:szCs w:val="18"/>
              </w:rPr>
            </w:pPr>
            <w:r w:rsidRPr="00EC1F29">
              <w:rPr>
                <w:sz w:val="18"/>
                <w:szCs w:val="18"/>
              </w:rPr>
              <w:t>Barton, Lyle</w:t>
            </w:r>
          </w:p>
        </w:tc>
        <w:tc>
          <w:tcPr>
            <w:tcW w:w="2572" w:type="dxa"/>
            <w:shd w:val="clear" w:color="auto" w:fill="auto"/>
          </w:tcPr>
          <w:p w:rsidR="00E913F2" w:rsidRPr="00EC1F29" w:rsidRDefault="00995E04" w:rsidP="00E913F2">
            <w:pPr>
              <w:rPr>
                <w:sz w:val="18"/>
                <w:szCs w:val="18"/>
              </w:rPr>
            </w:pPr>
            <w:r w:rsidRPr="00EC1F29">
              <w:rPr>
                <w:sz w:val="18"/>
                <w:szCs w:val="18"/>
              </w:rPr>
              <w:t>Henderson, Jim</w:t>
            </w:r>
          </w:p>
        </w:tc>
      </w:tr>
      <w:tr w:rsidR="00E913F2" w:rsidRPr="00EC1F29" w:rsidTr="00E913F2">
        <w:trPr>
          <w:trHeight w:val="287"/>
        </w:trPr>
        <w:tc>
          <w:tcPr>
            <w:tcW w:w="2581" w:type="dxa"/>
            <w:shd w:val="clear" w:color="auto" w:fill="auto"/>
          </w:tcPr>
          <w:p w:rsidR="00E913F2" w:rsidRPr="00EC1F29" w:rsidRDefault="00BA0768" w:rsidP="00E913F2">
            <w:pPr>
              <w:rPr>
                <w:sz w:val="18"/>
                <w:szCs w:val="18"/>
              </w:rPr>
            </w:pPr>
            <w:r w:rsidRPr="00EC1F29">
              <w:rPr>
                <w:sz w:val="18"/>
                <w:szCs w:val="18"/>
              </w:rPr>
              <w:t>McClelland, Averil</w:t>
            </w:r>
          </w:p>
        </w:tc>
        <w:tc>
          <w:tcPr>
            <w:tcW w:w="2505" w:type="dxa"/>
            <w:shd w:val="clear" w:color="auto" w:fill="auto"/>
          </w:tcPr>
          <w:p w:rsidR="00E913F2" w:rsidRPr="00EC1F29" w:rsidRDefault="00BA0768" w:rsidP="00E913F2">
            <w:pPr>
              <w:rPr>
                <w:sz w:val="18"/>
                <w:szCs w:val="18"/>
              </w:rPr>
            </w:pPr>
            <w:r w:rsidRPr="00EC1F29">
              <w:rPr>
                <w:sz w:val="18"/>
                <w:szCs w:val="18"/>
              </w:rPr>
              <w:t>Gordon, Karen</w:t>
            </w:r>
          </w:p>
        </w:tc>
        <w:tc>
          <w:tcPr>
            <w:tcW w:w="2580" w:type="dxa"/>
            <w:shd w:val="clear" w:color="auto" w:fill="auto"/>
          </w:tcPr>
          <w:p w:rsidR="00E913F2" w:rsidRPr="00EC1F29" w:rsidRDefault="00E913F2" w:rsidP="00E913F2">
            <w:pPr>
              <w:rPr>
                <w:sz w:val="18"/>
                <w:szCs w:val="18"/>
              </w:rPr>
            </w:pPr>
            <w:r w:rsidRPr="00EC1F29">
              <w:rPr>
                <w:sz w:val="18"/>
                <w:szCs w:val="18"/>
              </w:rPr>
              <w:t>Cowan, Richard</w:t>
            </w:r>
          </w:p>
        </w:tc>
        <w:tc>
          <w:tcPr>
            <w:tcW w:w="2572" w:type="dxa"/>
            <w:shd w:val="clear" w:color="auto" w:fill="auto"/>
          </w:tcPr>
          <w:p w:rsidR="00E913F2" w:rsidRPr="00EC1F29" w:rsidRDefault="00E913F2" w:rsidP="00E913F2">
            <w:pPr>
              <w:rPr>
                <w:sz w:val="18"/>
                <w:szCs w:val="18"/>
              </w:rPr>
            </w:pPr>
          </w:p>
        </w:tc>
      </w:tr>
      <w:tr w:rsidR="00E913F2" w:rsidRPr="00EC1F29" w:rsidTr="00E913F2">
        <w:trPr>
          <w:trHeight w:val="258"/>
        </w:trPr>
        <w:tc>
          <w:tcPr>
            <w:tcW w:w="2581" w:type="dxa"/>
            <w:shd w:val="clear" w:color="auto" w:fill="auto"/>
          </w:tcPr>
          <w:p w:rsidR="00E913F2" w:rsidRPr="00EC1F29" w:rsidRDefault="00E913F2" w:rsidP="00E913F2">
            <w:pPr>
              <w:rPr>
                <w:sz w:val="18"/>
                <w:szCs w:val="18"/>
              </w:rPr>
            </w:pPr>
            <w:r w:rsidRPr="00EC1F29">
              <w:rPr>
                <w:sz w:val="18"/>
                <w:szCs w:val="18"/>
              </w:rPr>
              <w:t>Scheule, Barb</w:t>
            </w:r>
          </w:p>
        </w:tc>
        <w:tc>
          <w:tcPr>
            <w:tcW w:w="2505" w:type="dxa"/>
            <w:shd w:val="clear" w:color="auto" w:fill="auto"/>
          </w:tcPr>
          <w:p w:rsidR="00E913F2" w:rsidRPr="00EC1F29" w:rsidRDefault="00BA0768" w:rsidP="00E913F2">
            <w:pPr>
              <w:rPr>
                <w:sz w:val="18"/>
                <w:szCs w:val="18"/>
              </w:rPr>
            </w:pPr>
            <w:r>
              <w:rPr>
                <w:sz w:val="18"/>
                <w:szCs w:val="18"/>
              </w:rPr>
              <w:t>Ding, Kele</w:t>
            </w:r>
          </w:p>
        </w:tc>
        <w:tc>
          <w:tcPr>
            <w:tcW w:w="2580" w:type="dxa"/>
            <w:shd w:val="clear" w:color="auto" w:fill="auto"/>
          </w:tcPr>
          <w:p w:rsidR="00E913F2" w:rsidRPr="00EC1F29" w:rsidRDefault="00995E04" w:rsidP="00E913F2">
            <w:pPr>
              <w:rPr>
                <w:sz w:val="18"/>
                <w:szCs w:val="18"/>
              </w:rPr>
            </w:pPr>
            <w:r>
              <w:rPr>
                <w:sz w:val="18"/>
                <w:szCs w:val="18"/>
              </w:rPr>
              <w:t>Cox, Jane</w:t>
            </w:r>
          </w:p>
        </w:tc>
        <w:tc>
          <w:tcPr>
            <w:tcW w:w="2572" w:type="dxa"/>
            <w:shd w:val="clear" w:color="auto" w:fill="auto"/>
          </w:tcPr>
          <w:p w:rsidR="00E913F2" w:rsidRPr="00EC1F29" w:rsidRDefault="00E913F2" w:rsidP="00E913F2">
            <w:pPr>
              <w:rPr>
                <w:sz w:val="18"/>
                <w:szCs w:val="18"/>
              </w:rPr>
            </w:pPr>
          </w:p>
        </w:tc>
      </w:tr>
      <w:tr w:rsidR="00E913F2" w:rsidRPr="00EC1F29" w:rsidTr="00E913F2">
        <w:trPr>
          <w:trHeight w:val="258"/>
        </w:trPr>
        <w:tc>
          <w:tcPr>
            <w:tcW w:w="2581" w:type="dxa"/>
            <w:shd w:val="clear" w:color="auto" w:fill="auto"/>
          </w:tcPr>
          <w:p w:rsidR="00E913F2" w:rsidRPr="00EC1F29" w:rsidRDefault="00E913F2" w:rsidP="00E913F2">
            <w:pPr>
              <w:rPr>
                <w:sz w:val="18"/>
                <w:szCs w:val="18"/>
              </w:rPr>
            </w:pPr>
          </w:p>
        </w:tc>
        <w:tc>
          <w:tcPr>
            <w:tcW w:w="2505" w:type="dxa"/>
            <w:shd w:val="clear" w:color="auto" w:fill="auto"/>
          </w:tcPr>
          <w:p w:rsidR="00E913F2" w:rsidRPr="00EC1F29" w:rsidRDefault="00E913F2" w:rsidP="00E913F2">
            <w:pPr>
              <w:rPr>
                <w:sz w:val="18"/>
                <w:szCs w:val="18"/>
              </w:rPr>
            </w:pPr>
          </w:p>
        </w:tc>
        <w:tc>
          <w:tcPr>
            <w:tcW w:w="2580" w:type="dxa"/>
            <w:shd w:val="clear" w:color="auto" w:fill="auto"/>
          </w:tcPr>
          <w:p w:rsidR="00E913F2" w:rsidRPr="00EC1F29" w:rsidRDefault="00E913F2" w:rsidP="00E913F2">
            <w:pPr>
              <w:rPr>
                <w:sz w:val="18"/>
                <w:szCs w:val="18"/>
              </w:rPr>
            </w:pPr>
            <w:r w:rsidRPr="00EC1F29">
              <w:rPr>
                <w:sz w:val="18"/>
                <w:szCs w:val="18"/>
              </w:rPr>
              <w:t>Richardson, Rhonda</w:t>
            </w:r>
          </w:p>
        </w:tc>
        <w:tc>
          <w:tcPr>
            <w:tcW w:w="2572" w:type="dxa"/>
            <w:shd w:val="clear" w:color="auto" w:fill="auto"/>
          </w:tcPr>
          <w:p w:rsidR="00E913F2" w:rsidRPr="00EC1F29" w:rsidRDefault="00E913F2" w:rsidP="00E913F2">
            <w:pPr>
              <w:rPr>
                <w:sz w:val="18"/>
                <w:szCs w:val="18"/>
              </w:rPr>
            </w:pPr>
          </w:p>
        </w:tc>
      </w:tr>
    </w:tbl>
    <w:p w:rsidR="00E913F2" w:rsidRPr="00BB3F7E" w:rsidRDefault="00E913F2" w:rsidP="00E913F2">
      <w:pPr>
        <w:rPr>
          <w:sz w:val="18"/>
          <w:szCs w:val="18"/>
        </w:rPr>
      </w:pPr>
      <w:r w:rsidRPr="00BB3F7E">
        <w:rPr>
          <w:sz w:val="18"/>
          <w:szCs w:val="18"/>
        </w:rPr>
        <w:t>Nancy Barbour, Admin. Affairs; Nancy Miller, OGSS</w:t>
      </w:r>
      <w:r w:rsidR="00C2476F" w:rsidRPr="00BB3F7E">
        <w:rPr>
          <w:sz w:val="18"/>
          <w:szCs w:val="18"/>
        </w:rPr>
        <w:t>;</w:t>
      </w:r>
      <w:r w:rsidR="00C2476F">
        <w:rPr>
          <w:sz w:val="18"/>
          <w:szCs w:val="18"/>
        </w:rPr>
        <w:t xml:space="preserve"> Luci</w:t>
      </w:r>
      <w:r>
        <w:rPr>
          <w:sz w:val="18"/>
          <w:szCs w:val="18"/>
        </w:rPr>
        <w:t xml:space="preserve"> Wymer, Recorder</w:t>
      </w:r>
    </w:p>
    <w:p w:rsidR="00E913F2" w:rsidRPr="00BB3F7E" w:rsidRDefault="00E913F2" w:rsidP="00E913F2">
      <w:pPr>
        <w:rPr>
          <w:sz w:val="18"/>
          <w:szCs w:val="18"/>
        </w:rPr>
      </w:pPr>
    </w:p>
    <w:p w:rsidR="00E913F2" w:rsidRPr="00BB3F7E" w:rsidRDefault="00E913F2" w:rsidP="00E913F2">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E913F2" w:rsidRPr="00EC1F29" w:rsidTr="00E913F2">
        <w:tc>
          <w:tcPr>
            <w:tcW w:w="2574" w:type="dxa"/>
          </w:tcPr>
          <w:p w:rsidR="00E913F2" w:rsidRPr="00EC1F29" w:rsidRDefault="00E913F2" w:rsidP="00E913F2">
            <w:pPr>
              <w:jc w:val="center"/>
              <w:rPr>
                <w:b/>
                <w:sz w:val="18"/>
                <w:szCs w:val="18"/>
              </w:rPr>
            </w:pPr>
            <w:r w:rsidRPr="00EC1F29">
              <w:rPr>
                <w:b/>
                <w:sz w:val="18"/>
                <w:szCs w:val="18"/>
              </w:rPr>
              <w:t>FLA</w:t>
            </w:r>
          </w:p>
        </w:tc>
        <w:tc>
          <w:tcPr>
            <w:tcW w:w="2574" w:type="dxa"/>
          </w:tcPr>
          <w:p w:rsidR="00E913F2" w:rsidRPr="00EC1F29" w:rsidRDefault="00E913F2" w:rsidP="00E913F2">
            <w:pPr>
              <w:jc w:val="center"/>
              <w:rPr>
                <w:b/>
                <w:sz w:val="18"/>
                <w:szCs w:val="18"/>
              </w:rPr>
            </w:pPr>
            <w:r w:rsidRPr="00EC1F29">
              <w:rPr>
                <w:b/>
                <w:sz w:val="18"/>
                <w:szCs w:val="18"/>
              </w:rPr>
              <w:t>HS</w:t>
            </w:r>
          </w:p>
        </w:tc>
        <w:tc>
          <w:tcPr>
            <w:tcW w:w="2574" w:type="dxa"/>
          </w:tcPr>
          <w:p w:rsidR="00E913F2" w:rsidRPr="00EC1F29" w:rsidRDefault="00E913F2" w:rsidP="00E913F2">
            <w:pPr>
              <w:jc w:val="center"/>
              <w:rPr>
                <w:b/>
                <w:sz w:val="18"/>
                <w:szCs w:val="18"/>
              </w:rPr>
            </w:pPr>
            <w:r w:rsidRPr="00EC1F29">
              <w:rPr>
                <w:b/>
                <w:sz w:val="18"/>
                <w:szCs w:val="18"/>
              </w:rPr>
              <w:t>LDES</w:t>
            </w:r>
          </w:p>
        </w:tc>
        <w:tc>
          <w:tcPr>
            <w:tcW w:w="2574" w:type="dxa"/>
          </w:tcPr>
          <w:p w:rsidR="00E913F2" w:rsidRPr="00EC1F29" w:rsidRDefault="00E913F2" w:rsidP="00E913F2">
            <w:pPr>
              <w:jc w:val="center"/>
              <w:rPr>
                <w:b/>
                <w:sz w:val="18"/>
                <w:szCs w:val="18"/>
              </w:rPr>
            </w:pPr>
            <w:r w:rsidRPr="00EC1F29">
              <w:rPr>
                <w:b/>
                <w:sz w:val="18"/>
                <w:szCs w:val="18"/>
              </w:rPr>
              <w:t>TLC</w:t>
            </w:r>
          </w:p>
        </w:tc>
      </w:tr>
      <w:tr w:rsidR="00E913F2" w:rsidRPr="00EC1F29" w:rsidTr="00E913F2">
        <w:trPr>
          <w:trHeight w:val="233"/>
        </w:trPr>
        <w:tc>
          <w:tcPr>
            <w:tcW w:w="2574" w:type="dxa"/>
          </w:tcPr>
          <w:p w:rsidR="00E913F2" w:rsidRPr="00EC1F29" w:rsidRDefault="00E913F2" w:rsidP="00E913F2">
            <w:pPr>
              <w:rPr>
                <w:sz w:val="18"/>
                <w:szCs w:val="18"/>
              </w:rPr>
            </w:pPr>
            <w:r w:rsidRPr="00EC1F29">
              <w:rPr>
                <w:sz w:val="18"/>
                <w:szCs w:val="18"/>
              </w:rPr>
              <w:t>Kretovics, Mark</w:t>
            </w:r>
          </w:p>
        </w:tc>
        <w:tc>
          <w:tcPr>
            <w:tcW w:w="2574" w:type="dxa"/>
          </w:tcPr>
          <w:p w:rsidR="00E913F2" w:rsidRPr="00EC1F29" w:rsidRDefault="00E913F2" w:rsidP="00E913F2">
            <w:pPr>
              <w:rPr>
                <w:sz w:val="18"/>
                <w:szCs w:val="18"/>
              </w:rPr>
            </w:pPr>
            <w:r w:rsidRPr="00EC1F29">
              <w:rPr>
                <w:sz w:val="18"/>
                <w:szCs w:val="18"/>
              </w:rPr>
              <w:t>Burzminski, Nancy</w:t>
            </w:r>
          </w:p>
        </w:tc>
        <w:tc>
          <w:tcPr>
            <w:tcW w:w="2574" w:type="dxa"/>
          </w:tcPr>
          <w:p w:rsidR="00E913F2" w:rsidRPr="00EC1F29" w:rsidRDefault="00995E04" w:rsidP="00E913F2">
            <w:pPr>
              <w:rPr>
                <w:sz w:val="18"/>
                <w:szCs w:val="18"/>
              </w:rPr>
            </w:pPr>
            <w:r w:rsidRPr="00EC1F29">
              <w:rPr>
                <w:sz w:val="18"/>
                <w:szCs w:val="18"/>
              </w:rPr>
              <w:t>McGlothlin, Jason</w:t>
            </w:r>
          </w:p>
        </w:tc>
        <w:tc>
          <w:tcPr>
            <w:tcW w:w="2574" w:type="dxa"/>
          </w:tcPr>
          <w:p w:rsidR="00E913F2" w:rsidRPr="00EC1F29" w:rsidRDefault="00E913F2" w:rsidP="00E913F2">
            <w:pPr>
              <w:rPr>
                <w:sz w:val="18"/>
                <w:szCs w:val="18"/>
              </w:rPr>
            </w:pPr>
            <w:r w:rsidRPr="00EC1F29">
              <w:rPr>
                <w:sz w:val="18"/>
                <w:szCs w:val="18"/>
              </w:rPr>
              <w:t>Brooks, Bette</w:t>
            </w:r>
          </w:p>
        </w:tc>
      </w:tr>
      <w:tr w:rsidR="00995E04" w:rsidRPr="00EC1F29" w:rsidTr="00E913F2">
        <w:trPr>
          <w:trHeight w:val="233"/>
        </w:trPr>
        <w:tc>
          <w:tcPr>
            <w:tcW w:w="2574" w:type="dxa"/>
          </w:tcPr>
          <w:p w:rsidR="00995E04" w:rsidRPr="00EC1F29" w:rsidRDefault="00995E04" w:rsidP="00E913F2">
            <w:pPr>
              <w:rPr>
                <w:sz w:val="18"/>
                <w:szCs w:val="18"/>
              </w:rPr>
            </w:pPr>
            <w:r w:rsidRPr="00EC1F29">
              <w:rPr>
                <w:sz w:val="18"/>
                <w:szCs w:val="18"/>
              </w:rPr>
              <w:t>Lyberger, Mark</w:t>
            </w:r>
          </w:p>
        </w:tc>
        <w:tc>
          <w:tcPr>
            <w:tcW w:w="2574" w:type="dxa"/>
          </w:tcPr>
          <w:p w:rsidR="00995E04" w:rsidRPr="00EC1F29" w:rsidRDefault="00995E04" w:rsidP="00E913F2">
            <w:pPr>
              <w:rPr>
                <w:sz w:val="18"/>
                <w:szCs w:val="18"/>
              </w:rPr>
            </w:pPr>
            <w:r w:rsidRPr="00EC1F29">
              <w:rPr>
                <w:sz w:val="18"/>
                <w:szCs w:val="18"/>
              </w:rPr>
              <w:t>Hawks, John</w:t>
            </w:r>
          </w:p>
        </w:tc>
        <w:tc>
          <w:tcPr>
            <w:tcW w:w="2574" w:type="dxa"/>
          </w:tcPr>
          <w:p w:rsidR="00995E04" w:rsidRPr="00EC1F29" w:rsidRDefault="00995E04" w:rsidP="006F506D">
            <w:pPr>
              <w:rPr>
                <w:sz w:val="18"/>
                <w:szCs w:val="18"/>
              </w:rPr>
            </w:pPr>
            <w:r w:rsidRPr="00EC1F29">
              <w:rPr>
                <w:sz w:val="18"/>
                <w:szCs w:val="18"/>
              </w:rPr>
              <w:t>Rumrill, Phil</w:t>
            </w:r>
          </w:p>
        </w:tc>
        <w:tc>
          <w:tcPr>
            <w:tcW w:w="2574" w:type="dxa"/>
          </w:tcPr>
          <w:p w:rsidR="00995E04" w:rsidRPr="00EC1F29" w:rsidRDefault="00995E04" w:rsidP="00E913F2">
            <w:pPr>
              <w:rPr>
                <w:sz w:val="18"/>
                <w:szCs w:val="18"/>
              </w:rPr>
            </w:pPr>
            <w:r w:rsidRPr="00EC1F29">
              <w:rPr>
                <w:sz w:val="18"/>
                <w:szCs w:val="18"/>
              </w:rPr>
              <w:t>Collier, Connie</w:t>
            </w:r>
          </w:p>
        </w:tc>
      </w:tr>
      <w:tr w:rsidR="00995E04" w:rsidRPr="00EC1F29" w:rsidTr="00E913F2">
        <w:tc>
          <w:tcPr>
            <w:tcW w:w="2574" w:type="dxa"/>
          </w:tcPr>
          <w:p w:rsidR="00995E04" w:rsidRPr="00EC1F29" w:rsidRDefault="00995E04" w:rsidP="006F506D">
            <w:pPr>
              <w:rPr>
                <w:sz w:val="18"/>
                <w:szCs w:val="18"/>
              </w:rPr>
            </w:pPr>
            <w:r w:rsidRPr="00EC1F29">
              <w:rPr>
                <w:sz w:val="18"/>
                <w:szCs w:val="18"/>
              </w:rPr>
              <w:t>Niesz, Tricia</w:t>
            </w:r>
          </w:p>
        </w:tc>
        <w:tc>
          <w:tcPr>
            <w:tcW w:w="2574" w:type="dxa"/>
          </w:tcPr>
          <w:p w:rsidR="00995E04" w:rsidRPr="00EC1F29" w:rsidRDefault="00995E04" w:rsidP="006F506D">
            <w:pPr>
              <w:rPr>
                <w:sz w:val="18"/>
                <w:szCs w:val="18"/>
              </w:rPr>
            </w:pPr>
            <w:r>
              <w:rPr>
                <w:sz w:val="18"/>
                <w:szCs w:val="18"/>
              </w:rPr>
              <w:t>Jonas, Jay</w:t>
            </w:r>
          </w:p>
        </w:tc>
        <w:tc>
          <w:tcPr>
            <w:tcW w:w="2574" w:type="dxa"/>
          </w:tcPr>
          <w:p w:rsidR="00995E04" w:rsidRPr="00EC1F29" w:rsidRDefault="00995E04" w:rsidP="006F506D">
            <w:pPr>
              <w:rPr>
                <w:sz w:val="18"/>
                <w:szCs w:val="18"/>
              </w:rPr>
            </w:pPr>
            <w:r w:rsidRPr="00EC1F29">
              <w:rPr>
                <w:sz w:val="18"/>
                <w:szCs w:val="18"/>
              </w:rPr>
              <w:t>Tiene, Drew</w:t>
            </w:r>
          </w:p>
        </w:tc>
        <w:tc>
          <w:tcPr>
            <w:tcW w:w="2574" w:type="dxa"/>
          </w:tcPr>
          <w:p w:rsidR="00995E04" w:rsidRPr="00EC1F29" w:rsidRDefault="00995E04" w:rsidP="00E913F2">
            <w:pPr>
              <w:rPr>
                <w:sz w:val="18"/>
                <w:szCs w:val="18"/>
              </w:rPr>
            </w:pPr>
            <w:r w:rsidRPr="00EC1F29">
              <w:rPr>
                <w:sz w:val="18"/>
                <w:szCs w:val="18"/>
              </w:rPr>
              <w:t>Hutchison, Janice</w:t>
            </w:r>
          </w:p>
        </w:tc>
      </w:tr>
      <w:tr w:rsidR="00995E04" w:rsidRPr="00EC1F29" w:rsidTr="00E913F2">
        <w:tc>
          <w:tcPr>
            <w:tcW w:w="2574" w:type="dxa"/>
          </w:tcPr>
          <w:p w:rsidR="00995E04" w:rsidRPr="00EC1F29" w:rsidRDefault="00995E04" w:rsidP="00E913F2">
            <w:pPr>
              <w:rPr>
                <w:sz w:val="18"/>
                <w:szCs w:val="18"/>
              </w:rPr>
            </w:pPr>
          </w:p>
        </w:tc>
        <w:tc>
          <w:tcPr>
            <w:tcW w:w="2574" w:type="dxa"/>
          </w:tcPr>
          <w:p w:rsidR="00995E04" w:rsidRPr="00EC1F29" w:rsidRDefault="00995E04" w:rsidP="00E913F2">
            <w:pPr>
              <w:rPr>
                <w:sz w:val="18"/>
                <w:szCs w:val="18"/>
              </w:rPr>
            </w:pPr>
          </w:p>
        </w:tc>
        <w:tc>
          <w:tcPr>
            <w:tcW w:w="2574" w:type="dxa"/>
          </w:tcPr>
          <w:p w:rsidR="00995E04" w:rsidRPr="00EC1F29" w:rsidRDefault="00995E04" w:rsidP="006F506D">
            <w:pPr>
              <w:rPr>
                <w:sz w:val="18"/>
                <w:szCs w:val="18"/>
              </w:rPr>
            </w:pPr>
          </w:p>
        </w:tc>
        <w:tc>
          <w:tcPr>
            <w:tcW w:w="2574" w:type="dxa"/>
          </w:tcPr>
          <w:p w:rsidR="00995E04" w:rsidRPr="00EC1F29" w:rsidRDefault="00995E04" w:rsidP="00E913F2">
            <w:pPr>
              <w:rPr>
                <w:sz w:val="18"/>
                <w:szCs w:val="18"/>
              </w:rPr>
            </w:pPr>
            <w:r w:rsidRPr="00EC1F29">
              <w:rPr>
                <w:sz w:val="18"/>
                <w:szCs w:val="18"/>
              </w:rPr>
              <w:t>Kroeger, Janice</w:t>
            </w:r>
          </w:p>
        </w:tc>
      </w:tr>
      <w:tr w:rsidR="00995E04" w:rsidRPr="00EC1F29" w:rsidTr="00E913F2">
        <w:tc>
          <w:tcPr>
            <w:tcW w:w="2574" w:type="dxa"/>
          </w:tcPr>
          <w:p w:rsidR="00995E04" w:rsidRPr="00EC1F29" w:rsidRDefault="00995E04" w:rsidP="00E913F2">
            <w:pPr>
              <w:rPr>
                <w:sz w:val="18"/>
                <w:szCs w:val="18"/>
              </w:rPr>
            </w:pPr>
          </w:p>
        </w:tc>
        <w:tc>
          <w:tcPr>
            <w:tcW w:w="2574" w:type="dxa"/>
          </w:tcPr>
          <w:p w:rsidR="00995E04" w:rsidRPr="00EC1F29" w:rsidRDefault="00995E04" w:rsidP="00E913F2">
            <w:pPr>
              <w:rPr>
                <w:sz w:val="18"/>
                <w:szCs w:val="18"/>
              </w:rPr>
            </w:pPr>
          </w:p>
        </w:tc>
        <w:tc>
          <w:tcPr>
            <w:tcW w:w="2574" w:type="dxa"/>
          </w:tcPr>
          <w:p w:rsidR="00995E04" w:rsidRPr="00EC1F29" w:rsidRDefault="00995E04" w:rsidP="00E913F2">
            <w:pPr>
              <w:rPr>
                <w:sz w:val="18"/>
                <w:szCs w:val="18"/>
              </w:rPr>
            </w:pPr>
          </w:p>
        </w:tc>
        <w:tc>
          <w:tcPr>
            <w:tcW w:w="2574" w:type="dxa"/>
          </w:tcPr>
          <w:p w:rsidR="00995E04" w:rsidRPr="00EC1F29" w:rsidRDefault="00995E04" w:rsidP="00E913F2">
            <w:pPr>
              <w:rPr>
                <w:sz w:val="18"/>
                <w:szCs w:val="18"/>
              </w:rPr>
            </w:pPr>
            <w:r w:rsidRPr="00EC1F29">
              <w:rPr>
                <w:sz w:val="18"/>
                <w:szCs w:val="18"/>
              </w:rPr>
              <w:t>Morgan, Denise</w:t>
            </w:r>
          </w:p>
        </w:tc>
      </w:tr>
      <w:tr w:rsidR="00995E04" w:rsidRPr="00EC1F29" w:rsidTr="00E913F2">
        <w:tc>
          <w:tcPr>
            <w:tcW w:w="2574" w:type="dxa"/>
          </w:tcPr>
          <w:p w:rsidR="00995E04" w:rsidRPr="00EC1F29" w:rsidRDefault="00995E04" w:rsidP="00E913F2">
            <w:pPr>
              <w:rPr>
                <w:sz w:val="18"/>
                <w:szCs w:val="18"/>
              </w:rPr>
            </w:pPr>
          </w:p>
        </w:tc>
        <w:tc>
          <w:tcPr>
            <w:tcW w:w="2574" w:type="dxa"/>
          </w:tcPr>
          <w:p w:rsidR="00995E04" w:rsidRPr="00EC1F29" w:rsidRDefault="00995E04" w:rsidP="00E913F2">
            <w:pPr>
              <w:rPr>
                <w:sz w:val="18"/>
                <w:szCs w:val="18"/>
              </w:rPr>
            </w:pPr>
          </w:p>
        </w:tc>
        <w:tc>
          <w:tcPr>
            <w:tcW w:w="2574" w:type="dxa"/>
          </w:tcPr>
          <w:p w:rsidR="00995E04" w:rsidRPr="00EC1F29" w:rsidRDefault="00995E04" w:rsidP="00E913F2">
            <w:pPr>
              <w:rPr>
                <w:sz w:val="18"/>
                <w:szCs w:val="18"/>
              </w:rPr>
            </w:pPr>
          </w:p>
        </w:tc>
        <w:tc>
          <w:tcPr>
            <w:tcW w:w="2574" w:type="dxa"/>
          </w:tcPr>
          <w:p w:rsidR="00995E04" w:rsidRPr="00EC1F29" w:rsidRDefault="00995E04" w:rsidP="00E913F2">
            <w:pPr>
              <w:rPr>
                <w:sz w:val="18"/>
                <w:szCs w:val="18"/>
              </w:rPr>
            </w:pPr>
            <w:r w:rsidRPr="00EC1F29">
              <w:rPr>
                <w:sz w:val="18"/>
                <w:szCs w:val="18"/>
              </w:rPr>
              <w:t>O’Connor, Pat</w:t>
            </w:r>
          </w:p>
        </w:tc>
      </w:tr>
    </w:tbl>
    <w:p w:rsidR="00E913F2" w:rsidRDefault="00E913F2" w:rsidP="00E913F2">
      <w:r w:rsidRPr="00BB3F7E">
        <w:rPr>
          <w:sz w:val="18"/>
          <w:szCs w:val="18"/>
        </w:rPr>
        <w:t>GUESTS:</w:t>
      </w:r>
      <w:r>
        <w:rPr>
          <w:sz w:val="18"/>
          <w:szCs w:val="18"/>
        </w:rPr>
        <w:t xml:space="preserve">  </w:t>
      </w:r>
      <w:r w:rsidR="00995E04">
        <w:rPr>
          <w:sz w:val="18"/>
          <w:szCs w:val="18"/>
        </w:rPr>
        <w:t>None</w:t>
      </w:r>
    </w:p>
    <w:p w:rsidR="00661B95" w:rsidRDefault="00661B95" w:rsidP="00661B95"/>
    <w:tbl>
      <w:tblPr>
        <w:tblStyle w:val="TableGrid"/>
        <w:tblW w:w="0" w:type="auto"/>
        <w:tblLook w:val="04A0"/>
      </w:tblPr>
      <w:tblGrid>
        <w:gridCol w:w="2178"/>
        <w:gridCol w:w="5940"/>
        <w:gridCol w:w="2178"/>
      </w:tblGrid>
      <w:tr w:rsidR="00661B95" w:rsidTr="00661B95">
        <w:tc>
          <w:tcPr>
            <w:tcW w:w="2178" w:type="dxa"/>
          </w:tcPr>
          <w:p w:rsidR="00661B95" w:rsidRPr="00661B95" w:rsidRDefault="00661B95" w:rsidP="00661B95">
            <w:pPr>
              <w:rPr>
                <w:b/>
              </w:rPr>
            </w:pPr>
            <w:r>
              <w:rPr>
                <w:b/>
              </w:rPr>
              <w:t>AGENDA ITEM</w:t>
            </w:r>
          </w:p>
        </w:tc>
        <w:tc>
          <w:tcPr>
            <w:tcW w:w="5940" w:type="dxa"/>
          </w:tcPr>
          <w:p w:rsidR="00661B95" w:rsidRPr="00661B95" w:rsidRDefault="00661B95" w:rsidP="00661B95">
            <w:pPr>
              <w:jc w:val="center"/>
              <w:rPr>
                <w:b/>
              </w:rPr>
            </w:pPr>
            <w:r w:rsidRPr="00661B95">
              <w:rPr>
                <w:b/>
              </w:rPr>
              <w:t>DISCUSSION</w:t>
            </w:r>
          </w:p>
        </w:tc>
        <w:tc>
          <w:tcPr>
            <w:tcW w:w="2178" w:type="dxa"/>
          </w:tcPr>
          <w:p w:rsidR="00661B95" w:rsidRPr="00661B95" w:rsidRDefault="00661B95" w:rsidP="00661B95">
            <w:pPr>
              <w:jc w:val="center"/>
              <w:rPr>
                <w:b/>
              </w:rPr>
            </w:pPr>
            <w:r>
              <w:rPr>
                <w:b/>
              </w:rPr>
              <w:t>ACTION TAKEN</w:t>
            </w:r>
          </w:p>
        </w:tc>
      </w:tr>
      <w:tr w:rsidR="00576CA5" w:rsidTr="00661B95">
        <w:tc>
          <w:tcPr>
            <w:tcW w:w="2178" w:type="dxa"/>
          </w:tcPr>
          <w:p w:rsidR="00576CA5" w:rsidRDefault="00576CA5" w:rsidP="00661B95"/>
        </w:tc>
        <w:tc>
          <w:tcPr>
            <w:tcW w:w="5940" w:type="dxa"/>
          </w:tcPr>
          <w:p w:rsidR="00576CA5" w:rsidRPr="00661B95" w:rsidRDefault="00C2476F" w:rsidP="00337465">
            <w:r>
              <w:t>N. Barbour</w:t>
            </w:r>
            <w:r w:rsidR="006F506D">
              <w:t xml:space="preserve">. </w:t>
            </w:r>
            <w:r w:rsidR="00576CA5">
              <w:t xml:space="preserve">thanked the group </w:t>
            </w:r>
            <w:r w:rsidR="00337465">
              <w:t>for their input at the last meeting with Graduate Studies.  S</w:t>
            </w:r>
            <w:r w:rsidR="00576CA5">
              <w:t xml:space="preserve">he </w:t>
            </w:r>
            <w:r w:rsidR="00337465">
              <w:t xml:space="preserve">shared she </w:t>
            </w:r>
            <w:r w:rsidR="00576CA5">
              <w:t>has spoke</w:t>
            </w:r>
            <w:r w:rsidR="00050878">
              <w:t>n</w:t>
            </w:r>
            <w:r w:rsidR="00576CA5">
              <w:t xml:space="preserve"> to Dean Mahony and he is advocating for improvement</w:t>
            </w:r>
            <w:r w:rsidR="00337465">
              <w:t xml:space="preserve"> in the process</w:t>
            </w:r>
            <w:r w:rsidR="00576CA5">
              <w:t>.  They have narrowed it down to three points including more personal service to faculty.</w:t>
            </w:r>
          </w:p>
        </w:tc>
        <w:tc>
          <w:tcPr>
            <w:tcW w:w="2178" w:type="dxa"/>
          </w:tcPr>
          <w:p w:rsidR="00576CA5" w:rsidRDefault="00576CA5" w:rsidP="00661B95"/>
        </w:tc>
      </w:tr>
      <w:tr w:rsidR="00661B95" w:rsidTr="00661B95">
        <w:tc>
          <w:tcPr>
            <w:tcW w:w="2178" w:type="dxa"/>
          </w:tcPr>
          <w:p w:rsidR="00661B95" w:rsidRDefault="00D53313" w:rsidP="00661B95">
            <w:r>
              <w:t xml:space="preserve">Completion of Corrections to Dissertations </w:t>
            </w:r>
            <w:r w:rsidR="00576CA5">
              <w:t xml:space="preserve">/Thesis </w:t>
            </w:r>
            <w:r>
              <w:t>Recommended at Defense.</w:t>
            </w:r>
          </w:p>
          <w:p w:rsidR="00D53313" w:rsidRDefault="00D53313" w:rsidP="00D53313">
            <w:pPr>
              <w:pStyle w:val="ListParagraph"/>
              <w:numPr>
                <w:ilvl w:val="0"/>
                <w:numId w:val="1"/>
              </w:numPr>
            </w:pPr>
            <w:r>
              <w:t xml:space="preserve"> Sign-off committee advisor on a “corrections completed” form</w:t>
            </w:r>
          </w:p>
        </w:tc>
        <w:tc>
          <w:tcPr>
            <w:tcW w:w="5940" w:type="dxa"/>
          </w:tcPr>
          <w:p w:rsidR="00661B95" w:rsidRPr="00661B95" w:rsidRDefault="006F506D" w:rsidP="002E1CB1">
            <w:r>
              <w:t>Currently there</w:t>
            </w:r>
            <w:r w:rsidR="00576CA5">
              <w:t xml:space="preserve"> is no mechanism </w:t>
            </w:r>
            <w:r>
              <w:t>for</w:t>
            </w:r>
            <w:r w:rsidR="00576CA5">
              <w:t xml:space="preserve"> knowing what corrections </w:t>
            </w:r>
            <w:r w:rsidR="00337465">
              <w:t xml:space="preserve">the committees have requested </w:t>
            </w:r>
            <w:r w:rsidR="00050878">
              <w:t xml:space="preserve">to </w:t>
            </w:r>
            <w:r w:rsidR="00337465">
              <w:t>be made to thesis/dissertations</w:t>
            </w:r>
            <w:r w:rsidR="00576CA5">
              <w:t xml:space="preserve">.  </w:t>
            </w:r>
            <w:r w:rsidR="00337465">
              <w:t>It has been suggested that a signoff sheet be used to assure the student has completed all corrections.</w:t>
            </w:r>
            <w:r w:rsidR="002F1813">
              <w:t xml:space="preserve"> There was discussion as to whether or not this is necessary and how it could be accomplished.  </w:t>
            </w:r>
            <w:r w:rsidR="00C2476F">
              <w:t>N. Barbour</w:t>
            </w:r>
            <w:r>
              <w:t xml:space="preserve"> stated</w:t>
            </w:r>
            <w:r w:rsidR="002F1813">
              <w:t xml:space="preserve"> making sure that all corrections have been made is the Advis</w:t>
            </w:r>
            <w:r w:rsidR="002E1CB1">
              <w:t>o</w:t>
            </w:r>
            <w:r w:rsidR="002F1813">
              <w:t>r</w:t>
            </w:r>
            <w:r w:rsidR="00337465">
              <w:t>’</w:t>
            </w:r>
            <w:r w:rsidR="002F1813">
              <w:t>s job and not the responsibility of the Admin</w:t>
            </w:r>
            <w:r w:rsidR="00337465">
              <w:t>istrative Affairs</w:t>
            </w:r>
            <w:r w:rsidR="002F1813">
              <w:t xml:space="preserve"> Office.  There were several suggestions made on how to accomplish making sure that all corrections have been made.  </w:t>
            </w:r>
            <w:r w:rsidR="00C2476F">
              <w:t>N. Barbour</w:t>
            </w:r>
            <w:r>
              <w:t xml:space="preserve"> </w:t>
            </w:r>
            <w:r w:rsidR="00D677DA">
              <w:t>asked if the group would agree that if formatting errors are found</w:t>
            </w:r>
            <w:r w:rsidR="00050878">
              <w:t>,</w:t>
            </w:r>
            <w:r w:rsidR="00D677DA">
              <w:t xml:space="preserve"> the dissertation /thesis will be sent to the advisor.  They all agreed that </w:t>
            </w:r>
            <w:r w:rsidR="008A5189">
              <w:t>this procedure</w:t>
            </w:r>
            <w:r w:rsidR="00D677DA">
              <w:t xml:space="preserve"> would be fine.  </w:t>
            </w:r>
            <w:r w:rsidR="00C2476F">
              <w:t>N. Barbour</w:t>
            </w:r>
            <w:r w:rsidR="002E1CB1">
              <w:t xml:space="preserve"> </w:t>
            </w:r>
            <w:r w:rsidR="00666615">
              <w:t xml:space="preserve">asked the group to hold the signature pages until all corrections have been made.  </w:t>
            </w:r>
            <w:r w:rsidR="009F6373">
              <w:t xml:space="preserve">Luci will copy the advisor/co-advisor </w:t>
            </w:r>
            <w:r w:rsidR="008A5189">
              <w:t xml:space="preserve">on emails to students </w:t>
            </w:r>
            <w:r w:rsidR="009F6373">
              <w:t xml:space="preserve">when corrections </w:t>
            </w:r>
            <w:r w:rsidR="008A5189">
              <w:t xml:space="preserve">are </w:t>
            </w:r>
            <w:r w:rsidR="009F6373">
              <w:t>needed.</w:t>
            </w:r>
          </w:p>
        </w:tc>
        <w:tc>
          <w:tcPr>
            <w:tcW w:w="2178" w:type="dxa"/>
          </w:tcPr>
          <w:p w:rsidR="00661B95" w:rsidRDefault="009F6373" w:rsidP="00661B95">
            <w:r>
              <w:t xml:space="preserve">Luci will send the </w:t>
            </w:r>
            <w:r w:rsidR="00513849">
              <w:t>list of available e</w:t>
            </w:r>
            <w:r>
              <w:t>ditors to the group.</w:t>
            </w:r>
          </w:p>
          <w:p w:rsidR="009F6373" w:rsidRDefault="009F6373" w:rsidP="00661B95"/>
          <w:p w:rsidR="009F6373" w:rsidRDefault="009F6373" w:rsidP="00513849">
            <w:r>
              <w:t>Luci will copy the advisor/co-advisor</w:t>
            </w:r>
            <w:r w:rsidR="00513849">
              <w:t xml:space="preserve"> on emails to the students</w:t>
            </w:r>
            <w:r>
              <w:t xml:space="preserve"> when corrections are needed</w:t>
            </w:r>
            <w:r w:rsidR="00513849">
              <w:t>.</w:t>
            </w:r>
          </w:p>
        </w:tc>
      </w:tr>
      <w:tr w:rsidR="00661B95" w:rsidTr="00661B95">
        <w:tc>
          <w:tcPr>
            <w:tcW w:w="2178" w:type="dxa"/>
          </w:tcPr>
          <w:p w:rsidR="00661B95" w:rsidRDefault="00D53313" w:rsidP="00661B95">
            <w:r>
              <w:t xml:space="preserve">Revision of </w:t>
            </w:r>
            <w:r>
              <w:lastRenderedPageBreak/>
              <w:t>“Guidelines for Preparation of Theses and Dissertations”</w:t>
            </w:r>
          </w:p>
        </w:tc>
        <w:tc>
          <w:tcPr>
            <w:tcW w:w="5940" w:type="dxa"/>
          </w:tcPr>
          <w:p w:rsidR="00661B95" w:rsidRDefault="004A3A96" w:rsidP="00661B95">
            <w:r>
              <w:lastRenderedPageBreak/>
              <w:t>C</w:t>
            </w:r>
            <w:r w:rsidR="00576CA5">
              <w:t>opies</w:t>
            </w:r>
            <w:r>
              <w:t xml:space="preserve"> of the revised Guidelines were distributed to the </w:t>
            </w:r>
            <w:r>
              <w:lastRenderedPageBreak/>
              <w:t xml:space="preserve">members.  Luci explained the changes and where the document was located on the website.  </w:t>
            </w:r>
          </w:p>
          <w:p w:rsidR="004A3A96" w:rsidRDefault="004A3A96" w:rsidP="00661B95"/>
          <w:p w:rsidR="004A3A96" w:rsidRDefault="004A3A96" w:rsidP="00661B95">
            <w:r>
              <w:t xml:space="preserve">It was shared that Vanessa Earp with the library has developed a very comprehensive APA link on their website with resources and FAQs.   There will be a link to this on our website.  Also the library has a link to information on plagiarism.  This will be linked to also.  </w:t>
            </w:r>
          </w:p>
        </w:tc>
        <w:tc>
          <w:tcPr>
            <w:tcW w:w="2178" w:type="dxa"/>
          </w:tcPr>
          <w:p w:rsidR="00661B95" w:rsidRDefault="00661B95" w:rsidP="00661B95"/>
        </w:tc>
      </w:tr>
      <w:tr w:rsidR="00661B95" w:rsidTr="00661B95">
        <w:tc>
          <w:tcPr>
            <w:tcW w:w="2178" w:type="dxa"/>
          </w:tcPr>
          <w:p w:rsidR="00661B95" w:rsidRDefault="00D53313" w:rsidP="00661B95">
            <w:r>
              <w:lastRenderedPageBreak/>
              <w:t>Finalization of Dissertation/Thesis Steps</w:t>
            </w:r>
          </w:p>
        </w:tc>
        <w:tc>
          <w:tcPr>
            <w:tcW w:w="5940" w:type="dxa"/>
          </w:tcPr>
          <w:p w:rsidR="00661B95" w:rsidRDefault="004A3A96" w:rsidP="00661B95">
            <w:r>
              <w:t>This document was also distributed to the group.  They were asked to share this with other faculty members.  It was decided that this will be included with the graduation packet sent out by OGSS also.</w:t>
            </w:r>
          </w:p>
        </w:tc>
        <w:tc>
          <w:tcPr>
            <w:tcW w:w="2178" w:type="dxa"/>
          </w:tcPr>
          <w:p w:rsidR="00661B95" w:rsidRDefault="00661B95" w:rsidP="00661B95"/>
        </w:tc>
      </w:tr>
      <w:tr w:rsidR="00D53313" w:rsidTr="00661B95">
        <w:tc>
          <w:tcPr>
            <w:tcW w:w="2178" w:type="dxa"/>
          </w:tcPr>
          <w:p w:rsidR="00D53313" w:rsidRDefault="00D53313" w:rsidP="00D53313">
            <w:r>
              <w:t>Possible creation of Plan of Study Template to be used by all programs</w:t>
            </w:r>
          </w:p>
        </w:tc>
        <w:tc>
          <w:tcPr>
            <w:tcW w:w="5940" w:type="dxa"/>
          </w:tcPr>
          <w:p w:rsidR="00D53313" w:rsidRDefault="009F6373" w:rsidP="00243E1A">
            <w:r>
              <w:t>Because there are so many styles of plans of stud</w:t>
            </w:r>
            <w:r w:rsidR="00243E1A">
              <w:t>y</w:t>
            </w:r>
            <w:r>
              <w:t xml:space="preserve"> </w:t>
            </w:r>
            <w:r w:rsidR="00C2476F">
              <w:t>N. Barbour</w:t>
            </w:r>
            <w:r w:rsidR="00D433AC">
              <w:t xml:space="preserve"> </w:t>
            </w:r>
            <w:r>
              <w:t>asked if the group would be willing to go to a template format.  They are agreed as long as there is some flexibility in outlining the program.</w:t>
            </w:r>
          </w:p>
        </w:tc>
        <w:tc>
          <w:tcPr>
            <w:tcW w:w="2178" w:type="dxa"/>
          </w:tcPr>
          <w:p w:rsidR="00D53313" w:rsidRDefault="009F6373" w:rsidP="00661B95">
            <w:r>
              <w:t>OGSS will help design this</w:t>
            </w:r>
            <w:r w:rsidR="00243E1A">
              <w:t xml:space="preserve"> template</w:t>
            </w:r>
            <w:r>
              <w:t>.</w:t>
            </w:r>
          </w:p>
        </w:tc>
      </w:tr>
      <w:tr w:rsidR="00D53313" w:rsidTr="00661B95">
        <w:tc>
          <w:tcPr>
            <w:tcW w:w="2178" w:type="dxa"/>
          </w:tcPr>
          <w:p w:rsidR="00D53313" w:rsidRDefault="00D53313" w:rsidP="00D53313">
            <w:r>
              <w:t>Turning non-degree licensure programs into certificate programs in order to make them “trackable”</w:t>
            </w:r>
          </w:p>
        </w:tc>
        <w:tc>
          <w:tcPr>
            <w:tcW w:w="5940" w:type="dxa"/>
          </w:tcPr>
          <w:p w:rsidR="00D53313" w:rsidRDefault="0095039E" w:rsidP="002E1CB1">
            <w:r>
              <w:t xml:space="preserve">It was explained that there have been </w:t>
            </w:r>
            <w:r w:rsidR="00D433AC">
              <w:t>d</w:t>
            </w:r>
            <w:r>
              <w:t xml:space="preserve">ifficulties in tracking </w:t>
            </w:r>
            <w:r w:rsidR="00D433AC">
              <w:t>students in</w:t>
            </w:r>
            <w:r>
              <w:t xml:space="preserve"> non-degree programs.  The nature of non-degree students is that </w:t>
            </w:r>
            <w:r w:rsidR="00C56B5A">
              <w:t>the college only</w:t>
            </w:r>
            <w:r>
              <w:t xml:space="preserve"> receive</w:t>
            </w:r>
            <w:r w:rsidR="00C56B5A">
              <w:t>s</w:t>
            </w:r>
            <w:r>
              <w:t xml:space="preserve"> transcripts and then the student is free to take any coursework that they want</w:t>
            </w:r>
            <w:r w:rsidR="00C56B5A">
              <w:t xml:space="preserve"> unless blocked by course requirements</w:t>
            </w:r>
            <w:r>
              <w:t xml:space="preserve">.  </w:t>
            </w:r>
            <w:r w:rsidR="002E1CB1">
              <w:t>On the other hand s</w:t>
            </w:r>
            <w:r>
              <w:t xml:space="preserve">tudents are required to apply for certificate.  </w:t>
            </w:r>
            <w:r w:rsidR="00C2476F">
              <w:t>N. Barbour</w:t>
            </w:r>
            <w:r w:rsidR="00D433AC">
              <w:t xml:space="preserve"> </w:t>
            </w:r>
            <w:r>
              <w:t>explained that there are licensure programs that are non-degree</w:t>
            </w:r>
            <w:r w:rsidR="00C56B5A">
              <w:t xml:space="preserve"> and shared several instances of problems this has caused</w:t>
            </w:r>
            <w:r>
              <w:t xml:space="preserve">.  </w:t>
            </w:r>
            <w:r w:rsidR="00C56B5A">
              <w:t>When the students apply</w:t>
            </w:r>
            <w:r>
              <w:t xml:space="preserve"> there is a survey they </w:t>
            </w:r>
            <w:r w:rsidR="00C56B5A">
              <w:t>complete to determine</w:t>
            </w:r>
            <w:r>
              <w:t xml:space="preserve"> if they are applying for a licensure or endorsement.   N</w:t>
            </w:r>
            <w:r w:rsidR="002E1CB1">
              <w:t>.</w:t>
            </w:r>
            <w:r w:rsidR="00C56B5A">
              <w:t xml:space="preserve"> </w:t>
            </w:r>
            <w:r>
              <w:t>M</w:t>
            </w:r>
            <w:r w:rsidR="00C56B5A">
              <w:t xml:space="preserve">iller </w:t>
            </w:r>
            <w:r>
              <w:t xml:space="preserve">explained that if they </w:t>
            </w:r>
            <w:r w:rsidR="00C56B5A">
              <w:t>indicate</w:t>
            </w:r>
            <w:r>
              <w:t xml:space="preserve"> they </w:t>
            </w:r>
            <w:r w:rsidR="00C56B5A">
              <w:t xml:space="preserve">are applying for </w:t>
            </w:r>
            <w:r>
              <w:t xml:space="preserve">initial licensure a box pops up warning that they need to contact OGSS.  </w:t>
            </w:r>
            <w:r w:rsidR="00C2476F">
              <w:t>N. Barbour</w:t>
            </w:r>
            <w:r w:rsidR="00D433AC">
              <w:t xml:space="preserve"> </w:t>
            </w:r>
            <w:r>
              <w:t xml:space="preserve">asked the group to </w:t>
            </w:r>
            <w:r w:rsidR="00C56B5A">
              <w:t>consider making these changes.</w:t>
            </w:r>
          </w:p>
        </w:tc>
        <w:tc>
          <w:tcPr>
            <w:tcW w:w="2178" w:type="dxa"/>
          </w:tcPr>
          <w:p w:rsidR="00D53313" w:rsidRDefault="00D53313" w:rsidP="00661B95"/>
        </w:tc>
      </w:tr>
      <w:tr w:rsidR="00D53313" w:rsidTr="00661B95">
        <w:tc>
          <w:tcPr>
            <w:tcW w:w="2178" w:type="dxa"/>
          </w:tcPr>
          <w:p w:rsidR="00D53313" w:rsidRDefault="00D53313" w:rsidP="00D53313">
            <w:r>
              <w:t>Transfer of credits to a certificate program</w:t>
            </w:r>
          </w:p>
        </w:tc>
        <w:tc>
          <w:tcPr>
            <w:tcW w:w="5940" w:type="dxa"/>
          </w:tcPr>
          <w:p w:rsidR="00D53313" w:rsidRDefault="0055569C" w:rsidP="00D433AC">
            <w:r>
              <w:t>T</w:t>
            </w:r>
            <w:r w:rsidR="0095039E">
              <w:t>his</w:t>
            </w:r>
            <w:r>
              <w:t xml:space="preserve"> issue</w:t>
            </w:r>
            <w:r w:rsidR="0095039E">
              <w:t xml:space="preserve"> had been discussed previously.  </w:t>
            </w:r>
            <w:r>
              <w:t>A</w:t>
            </w:r>
            <w:r w:rsidR="0095039E">
              <w:t xml:space="preserve">ccording to the catalog credits cannot be transferred into a certificate program (for now – graduate level only).  </w:t>
            </w:r>
            <w:r w:rsidR="00402A1C">
              <w:t xml:space="preserve">Currently credits can only be transferred into a </w:t>
            </w:r>
            <w:r w:rsidR="00050878">
              <w:t xml:space="preserve">degree </w:t>
            </w:r>
            <w:r w:rsidR="00402A1C">
              <w:t>program.</w:t>
            </w:r>
          </w:p>
        </w:tc>
        <w:tc>
          <w:tcPr>
            <w:tcW w:w="2178" w:type="dxa"/>
          </w:tcPr>
          <w:p w:rsidR="00D53313" w:rsidRDefault="00D53313" w:rsidP="00661B95"/>
        </w:tc>
      </w:tr>
      <w:tr w:rsidR="00D53313" w:rsidTr="00661B95">
        <w:tc>
          <w:tcPr>
            <w:tcW w:w="2178" w:type="dxa"/>
          </w:tcPr>
          <w:p w:rsidR="00D53313" w:rsidRDefault="00D53313" w:rsidP="00D53313">
            <w:r>
              <w:t>Substitution of “Brochure” for Biosketch or 2 pg. CV – Ellen Glickman</w:t>
            </w:r>
          </w:p>
        </w:tc>
        <w:tc>
          <w:tcPr>
            <w:tcW w:w="5940" w:type="dxa"/>
          </w:tcPr>
          <w:p w:rsidR="00D53313" w:rsidRDefault="007C2F19" w:rsidP="000F21CF">
            <w:r>
              <w:t>C</w:t>
            </w:r>
            <w:r w:rsidR="00B23072">
              <w:t xml:space="preserve">urrently a brochure </w:t>
            </w:r>
            <w:r>
              <w:t xml:space="preserve">is </w:t>
            </w:r>
            <w:r w:rsidR="00B23072">
              <w:t xml:space="preserve">prepared </w:t>
            </w:r>
            <w:r>
              <w:t xml:space="preserve">by the student </w:t>
            </w:r>
            <w:r w:rsidR="00B23072">
              <w:t>for dissertation</w:t>
            </w:r>
            <w:r w:rsidR="009B1239">
              <w:t xml:space="preserve"> defense</w:t>
            </w:r>
            <w:r w:rsidR="00B23072">
              <w:t xml:space="preserve">.  </w:t>
            </w:r>
            <w:r>
              <w:t xml:space="preserve">E. Glickman advocated that the student be asked to prepare a short </w:t>
            </w:r>
            <w:r w:rsidR="009B1239">
              <w:t>two</w:t>
            </w:r>
            <w:r>
              <w:t xml:space="preserve"> page CV instead of the </w:t>
            </w:r>
            <w:r w:rsidR="000F21CF">
              <w:t>brochure</w:t>
            </w:r>
            <w:r>
              <w:t xml:space="preserve"> to prepare a student for the future.</w:t>
            </w:r>
            <w:r w:rsidR="009B1239">
              <w:t xml:space="preserve"> </w:t>
            </w:r>
            <w:r>
              <w:t xml:space="preserve"> </w:t>
            </w:r>
            <w:r w:rsidR="002C6179">
              <w:t xml:space="preserve">It was </w:t>
            </w:r>
            <w:r w:rsidR="000F21CF">
              <w:t xml:space="preserve">also </w:t>
            </w:r>
            <w:r w:rsidR="002C6179">
              <w:t>suggested that this could be moved to the web instead of doing a paper copy.</w:t>
            </w:r>
            <w:r w:rsidR="00EA6C26">
              <w:t xml:space="preserve">  It was suggested that it be placed on the main EHHS page along with their abstract.  </w:t>
            </w:r>
            <w:r>
              <w:t>T</w:t>
            </w:r>
            <w:r w:rsidR="0019483C">
              <w:t xml:space="preserve">he readiness to defend form would </w:t>
            </w:r>
            <w:r>
              <w:t>continue to</w:t>
            </w:r>
            <w:r w:rsidR="0019483C">
              <w:t xml:space="preserve"> be used.  Th</w:t>
            </w:r>
            <w:r>
              <w:t xml:space="preserve">is </w:t>
            </w:r>
            <w:r w:rsidR="000F21CF">
              <w:t>“CV” would</w:t>
            </w:r>
            <w:r w:rsidR="0019483C">
              <w:t xml:space="preserve"> also </w:t>
            </w:r>
            <w:r>
              <w:t>be used</w:t>
            </w:r>
            <w:r w:rsidR="0019483C">
              <w:t xml:space="preserve"> for thesis</w:t>
            </w:r>
            <w:r>
              <w:t xml:space="preserve"> defense</w:t>
            </w:r>
            <w:r w:rsidR="0019483C">
              <w:t xml:space="preserve">.  </w:t>
            </w:r>
            <w:r>
              <w:t xml:space="preserve">There will </w:t>
            </w:r>
            <w:r w:rsidR="009B1239">
              <w:t xml:space="preserve">be </w:t>
            </w:r>
            <w:r>
              <w:t xml:space="preserve">discussion regarding how best to implement this procedure and who will be responsible. </w:t>
            </w:r>
            <w:r w:rsidR="0019483C">
              <w:t xml:space="preserve">The advisor will send a form to whoever is responsible with all of the pertinent information regarding the defense.  </w:t>
            </w:r>
          </w:p>
        </w:tc>
        <w:tc>
          <w:tcPr>
            <w:tcW w:w="2178" w:type="dxa"/>
          </w:tcPr>
          <w:p w:rsidR="000F21CF" w:rsidRDefault="007C2F19" w:rsidP="009B1239">
            <w:r>
              <w:t>Need to</w:t>
            </w:r>
            <w:r w:rsidR="000F21CF">
              <w:t xml:space="preserve"> determine who</w:t>
            </w:r>
            <w:r>
              <w:t xml:space="preserve"> </w:t>
            </w:r>
            <w:r w:rsidR="000F21CF">
              <w:t xml:space="preserve">will be responsible to </w:t>
            </w:r>
            <w:r>
              <w:t>post student’s</w:t>
            </w:r>
            <w:r w:rsidR="000F21CF">
              <w:t xml:space="preserve"> CVs.</w:t>
            </w:r>
          </w:p>
          <w:p w:rsidR="000F21CF" w:rsidRDefault="000F21CF" w:rsidP="009B1239"/>
          <w:p w:rsidR="00D53313" w:rsidRDefault="007C2F19" w:rsidP="000F21CF">
            <w:r>
              <w:t xml:space="preserve"> </w:t>
            </w:r>
          </w:p>
        </w:tc>
      </w:tr>
      <w:tr w:rsidR="0019483C" w:rsidTr="00661B95">
        <w:tc>
          <w:tcPr>
            <w:tcW w:w="2178" w:type="dxa"/>
          </w:tcPr>
          <w:p w:rsidR="0019483C" w:rsidRDefault="00473360" w:rsidP="00D53313">
            <w:r>
              <w:t xml:space="preserve">Reviewing of </w:t>
            </w:r>
            <w:r>
              <w:lastRenderedPageBreak/>
              <w:t>international files w/o TOEFL Scores</w:t>
            </w:r>
          </w:p>
        </w:tc>
        <w:tc>
          <w:tcPr>
            <w:tcW w:w="5940" w:type="dxa"/>
          </w:tcPr>
          <w:p w:rsidR="0019483C" w:rsidRDefault="00C2476F" w:rsidP="002F65E6">
            <w:r>
              <w:lastRenderedPageBreak/>
              <w:t>N. Barbour</w:t>
            </w:r>
            <w:r w:rsidR="00220F8C">
              <w:t xml:space="preserve">. </w:t>
            </w:r>
            <w:r w:rsidR="00473360">
              <w:t xml:space="preserve">poled the </w:t>
            </w:r>
            <w:r w:rsidR="00220F8C">
              <w:t xml:space="preserve">committee </w:t>
            </w:r>
            <w:r w:rsidR="00473360">
              <w:t xml:space="preserve">members in attendance </w:t>
            </w:r>
            <w:r w:rsidR="00220F8C">
              <w:lastRenderedPageBreak/>
              <w:t>regarding their program’s</w:t>
            </w:r>
            <w:r w:rsidR="00473360">
              <w:t xml:space="preserve"> </w:t>
            </w:r>
            <w:r w:rsidR="0019483C">
              <w:t>willing</w:t>
            </w:r>
            <w:r w:rsidR="00220F8C">
              <w:t>ness</w:t>
            </w:r>
            <w:r w:rsidR="0019483C">
              <w:t xml:space="preserve"> to rev</w:t>
            </w:r>
            <w:r w:rsidR="00D472AD">
              <w:t>iew files that do not have a TOEFL</w:t>
            </w:r>
            <w:r w:rsidR="0019483C">
              <w:t xml:space="preserve"> score</w:t>
            </w:r>
            <w:r w:rsidR="00473360">
              <w:t>.  The responses were as follows</w:t>
            </w:r>
            <w:r w:rsidR="0019483C">
              <w:t>:</w:t>
            </w:r>
          </w:p>
          <w:p w:rsidR="0019483C" w:rsidRDefault="0019483C" w:rsidP="002F65E6"/>
          <w:p w:rsidR="0019483C" w:rsidRDefault="00473360" w:rsidP="002F65E6">
            <w:r>
              <w:t>Educational Admin. – K-12 Leadership:  No</w:t>
            </w:r>
          </w:p>
          <w:p w:rsidR="0019483C" w:rsidRDefault="00473360" w:rsidP="002F65E6">
            <w:r>
              <w:t>Cultural Foundations:  No</w:t>
            </w:r>
          </w:p>
          <w:p w:rsidR="0019483C" w:rsidRDefault="00C1296B" w:rsidP="002F65E6">
            <w:r>
              <w:t>Health Education and Promotion:  N</w:t>
            </w:r>
            <w:r w:rsidR="0019483C">
              <w:t>o</w:t>
            </w:r>
          </w:p>
          <w:p w:rsidR="0019483C" w:rsidRDefault="00C1296B" w:rsidP="002F65E6">
            <w:r>
              <w:t xml:space="preserve">Counseling and Human Dev. Serv.: </w:t>
            </w:r>
            <w:r w:rsidR="0019483C">
              <w:t xml:space="preserve"> </w:t>
            </w:r>
            <w:r>
              <w:t>No</w:t>
            </w:r>
          </w:p>
          <w:p w:rsidR="0019483C" w:rsidRDefault="00C1296B" w:rsidP="002F65E6">
            <w:r>
              <w:t>School Psychology:  No</w:t>
            </w:r>
          </w:p>
          <w:p w:rsidR="0019483C" w:rsidRDefault="00C1296B" w:rsidP="002F65E6">
            <w:r>
              <w:t>Evaluation and Measurement:  P</w:t>
            </w:r>
            <w:r w:rsidR="0019483C">
              <w:t>ossibly (</w:t>
            </w:r>
            <w:r>
              <w:t>Will</w:t>
            </w:r>
            <w:r w:rsidR="0019483C">
              <w:t xml:space="preserve"> check with Tricia</w:t>
            </w:r>
            <w:r>
              <w:t xml:space="preserve"> Niesz</w:t>
            </w:r>
            <w:r w:rsidR="0019483C">
              <w:t>)</w:t>
            </w:r>
          </w:p>
          <w:p w:rsidR="0019483C" w:rsidRDefault="00C1296B" w:rsidP="002F65E6">
            <w:r>
              <w:t>Hosp. &amp; Tour. Mgt:  No</w:t>
            </w:r>
          </w:p>
          <w:p w:rsidR="00C1296B" w:rsidRDefault="00C1296B" w:rsidP="002F65E6">
            <w:r>
              <w:t>Human Dev. &amp; Family Studies:  No</w:t>
            </w:r>
          </w:p>
          <w:p w:rsidR="0019483C" w:rsidRDefault="00C1296B" w:rsidP="002F65E6">
            <w:r>
              <w:t>Curriculum &amp; Instruction:  No</w:t>
            </w:r>
          </w:p>
          <w:p w:rsidR="0019483C" w:rsidRDefault="000B4940" w:rsidP="002F65E6">
            <w:r>
              <w:t xml:space="preserve">Special Education:  </w:t>
            </w:r>
            <w:r w:rsidR="0019483C">
              <w:t>Yes</w:t>
            </w:r>
          </w:p>
          <w:p w:rsidR="0019483C" w:rsidRDefault="000B4940" w:rsidP="002F65E6">
            <w:r>
              <w:t>Exercise Physiology:  No</w:t>
            </w:r>
          </w:p>
          <w:p w:rsidR="0019483C" w:rsidRDefault="000B4940" w:rsidP="002F65E6">
            <w:r>
              <w:t>Nutrition:  No</w:t>
            </w:r>
          </w:p>
          <w:p w:rsidR="00D472AD" w:rsidRDefault="00D472AD" w:rsidP="002F65E6"/>
          <w:p w:rsidR="00D472AD" w:rsidRDefault="00C2476F" w:rsidP="00220F8C">
            <w:r>
              <w:t>N. Barbour</w:t>
            </w:r>
            <w:r w:rsidR="00220F8C">
              <w:t>.</w:t>
            </w:r>
            <w:r w:rsidR="00D472AD">
              <w:t xml:space="preserve"> will clearly explain to David D</w:t>
            </w:r>
            <w:r w:rsidR="00220F8C">
              <w:t xml:space="preserve">i </w:t>
            </w:r>
            <w:r w:rsidR="00D472AD">
              <w:t>Maria which programs are willing to review files without the TOEFL</w:t>
            </w:r>
            <w:r w:rsidR="00682310">
              <w:t xml:space="preserve">  scores. </w:t>
            </w:r>
          </w:p>
        </w:tc>
        <w:tc>
          <w:tcPr>
            <w:tcW w:w="2178" w:type="dxa"/>
          </w:tcPr>
          <w:p w:rsidR="0019483C" w:rsidRDefault="0019483C" w:rsidP="00661B95"/>
        </w:tc>
      </w:tr>
      <w:tr w:rsidR="00682310" w:rsidTr="00661B95">
        <w:tc>
          <w:tcPr>
            <w:tcW w:w="2178" w:type="dxa"/>
          </w:tcPr>
          <w:p w:rsidR="00682310" w:rsidRDefault="005F2D17" w:rsidP="00D53313">
            <w:r>
              <w:lastRenderedPageBreak/>
              <w:t xml:space="preserve">New </w:t>
            </w:r>
            <w:r w:rsidR="00682310">
              <w:t>GRE</w:t>
            </w:r>
            <w:r>
              <w:t xml:space="preserve"> scoring</w:t>
            </w:r>
            <w:r w:rsidR="00682310">
              <w:t xml:space="preserve"> </w:t>
            </w:r>
          </w:p>
        </w:tc>
        <w:tc>
          <w:tcPr>
            <w:tcW w:w="5940" w:type="dxa"/>
          </w:tcPr>
          <w:p w:rsidR="00682310" w:rsidRDefault="00C2476F" w:rsidP="00682310">
            <w:r>
              <w:t>N. Barbour</w:t>
            </w:r>
            <w:r w:rsidR="00682310">
              <w:t xml:space="preserve"> reviewed the</w:t>
            </w:r>
            <w:r w:rsidR="000F21CF">
              <w:t xml:space="preserve"> GRE Revised General Test Update</w:t>
            </w:r>
            <w:r w:rsidR="00682310">
              <w:t>.  These were sent to the members prior to the meeting.  She explained that there isn’t a crosswalk to compare with old scores</w:t>
            </w:r>
            <w:r w:rsidR="00050878">
              <w:t xml:space="preserve"> [there are, in fact, crosswalks that were on an email sent from N. Barbour after the meeting]</w:t>
            </w:r>
            <w:r w:rsidR="00682310">
              <w:t xml:space="preserve">.  She asked that the group look carefully at the new scoring methods.  She asked </w:t>
            </w:r>
            <w:r w:rsidR="00050878">
              <w:t>them to</w:t>
            </w:r>
            <w:r w:rsidR="00682310">
              <w:t xml:space="preserve"> go to the GRE website </w:t>
            </w:r>
            <w:r w:rsidR="000F21CF">
              <w:t>to</w:t>
            </w:r>
            <w:r w:rsidR="00682310">
              <w:t xml:space="preserve"> review </w:t>
            </w:r>
            <w:r w:rsidR="00451BAC">
              <w:t xml:space="preserve">and become familiar with </w:t>
            </w:r>
            <w:r w:rsidR="00682310">
              <w:t xml:space="preserve">the new scoring.  She stated that when we begin getting the new scores there could be more discussion.  </w:t>
            </w:r>
            <w:r w:rsidR="005C5818">
              <w:t>She explained the new incremental range should make the differences more obvious.  She shared there are expert Q&amp;As and videos.  The new scores should be starting to come through as of Nov. 1</w:t>
            </w:r>
            <w:r w:rsidR="005C5818" w:rsidRPr="005C5818">
              <w:rPr>
                <w:vertAlign w:val="superscript"/>
              </w:rPr>
              <w:t>st</w:t>
            </w:r>
            <w:r w:rsidR="005C5818">
              <w:t>.  The new test began August 1</w:t>
            </w:r>
            <w:r w:rsidR="005C5818" w:rsidRPr="005C5818">
              <w:rPr>
                <w:vertAlign w:val="superscript"/>
              </w:rPr>
              <w:t>st</w:t>
            </w:r>
            <w:r w:rsidR="005C5818">
              <w:t xml:space="preserve">. </w:t>
            </w:r>
            <w:r w:rsidR="00CD03FC">
              <w:t xml:space="preserve"> </w:t>
            </w:r>
          </w:p>
          <w:p w:rsidR="004E2D95" w:rsidRDefault="004E2D95" w:rsidP="00682310"/>
          <w:p w:rsidR="00CD03FC" w:rsidRDefault="00CD03FC" w:rsidP="00050878">
            <w:r>
              <w:t xml:space="preserve">She asked that they pay particular attention to percentiles and </w:t>
            </w:r>
            <w:r w:rsidR="00DD353E">
              <w:t>reiterated</w:t>
            </w:r>
            <w:r>
              <w:t xml:space="preserve"> that the scoring is going to look very different.  </w:t>
            </w:r>
          </w:p>
        </w:tc>
        <w:tc>
          <w:tcPr>
            <w:tcW w:w="2178" w:type="dxa"/>
          </w:tcPr>
          <w:p w:rsidR="00682310" w:rsidRDefault="00CD03FC" w:rsidP="00661B95">
            <w:r>
              <w:t>N</w:t>
            </w:r>
            <w:r w:rsidR="00451BAC">
              <w:t xml:space="preserve">ancy </w:t>
            </w:r>
            <w:r>
              <w:t>M</w:t>
            </w:r>
            <w:r w:rsidR="00451BAC">
              <w:t>iller</w:t>
            </w:r>
            <w:r>
              <w:t xml:space="preserve"> will work with JP to include an interpretation in the admission packet.</w:t>
            </w:r>
          </w:p>
        </w:tc>
      </w:tr>
    </w:tbl>
    <w:p w:rsidR="00661B95" w:rsidRDefault="00661B95" w:rsidP="00661B95"/>
    <w:p w:rsidR="00661B95" w:rsidRDefault="00661B95" w:rsidP="00661B95">
      <w:r>
        <w:t>The meeting was adjourned at</w:t>
      </w:r>
      <w:r w:rsidR="00451BAC">
        <w:t xml:space="preserve">  11:15 am.</w:t>
      </w:r>
    </w:p>
    <w:p w:rsidR="00661B95" w:rsidRPr="00451BAC" w:rsidRDefault="00661B95" w:rsidP="00661B95">
      <w:pPr>
        <w:rPr>
          <w:b/>
        </w:rPr>
      </w:pPr>
      <w:r>
        <w:t>Next meeting:</w:t>
      </w:r>
      <w:r w:rsidR="002C6179">
        <w:t xml:space="preserve">  </w:t>
      </w:r>
      <w:r w:rsidR="002C6179" w:rsidRPr="00451BAC">
        <w:rPr>
          <w:b/>
        </w:rPr>
        <w:t>Thurs., Dec. 8, 2011,</w:t>
      </w:r>
      <w:r w:rsidR="00682310" w:rsidRPr="00451BAC">
        <w:rPr>
          <w:b/>
        </w:rPr>
        <w:t xml:space="preserve"> 10:00-11:15</w:t>
      </w:r>
      <w:r w:rsidR="00451BAC">
        <w:rPr>
          <w:b/>
        </w:rPr>
        <w:t>, WH-Rm 217</w:t>
      </w:r>
    </w:p>
    <w:p w:rsidR="00661B95" w:rsidRDefault="00661B95" w:rsidP="00661B95"/>
    <w:p w:rsidR="00661B95" w:rsidRDefault="00661B95" w:rsidP="00661B95">
      <w:r>
        <w:t>Respectfully submitted</w:t>
      </w:r>
    </w:p>
    <w:p w:rsidR="00661B95" w:rsidRPr="00661B95" w:rsidRDefault="00661B95" w:rsidP="00661B95">
      <w:r>
        <w:t>Luci Wymer, Recorder</w:t>
      </w:r>
    </w:p>
    <w:sectPr w:rsidR="00661B95" w:rsidRPr="00661B95"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289B"/>
    <w:multiLevelType w:val="hybridMultilevel"/>
    <w:tmpl w:val="26981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B95"/>
    <w:rsid w:val="00050878"/>
    <w:rsid w:val="000B4940"/>
    <w:rsid w:val="000E23A2"/>
    <w:rsid w:val="000F21CF"/>
    <w:rsid w:val="0019483C"/>
    <w:rsid w:val="001A72CF"/>
    <w:rsid w:val="00213CCA"/>
    <w:rsid w:val="00220F8C"/>
    <w:rsid w:val="00243E1A"/>
    <w:rsid w:val="002451BA"/>
    <w:rsid w:val="002C6179"/>
    <w:rsid w:val="002E1CB1"/>
    <w:rsid w:val="002F1813"/>
    <w:rsid w:val="002F65E6"/>
    <w:rsid w:val="003078BA"/>
    <w:rsid w:val="00336284"/>
    <w:rsid w:val="00337465"/>
    <w:rsid w:val="00402A1C"/>
    <w:rsid w:val="004035E6"/>
    <w:rsid w:val="00451BAC"/>
    <w:rsid w:val="00466515"/>
    <w:rsid w:val="00473360"/>
    <w:rsid w:val="004A3A96"/>
    <w:rsid w:val="004E2D95"/>
    <w:rsid w:val="00513849"/>
    <w:rsid w:val="0055569C"/>
    <w:rsid w:val="00576CA5"/>
    <w:rsid w:val="0059197D"/>
    <w:rsid w:val="005C5818"/>
    <w:rsid w:val="005F2D17"/>
    <w:rsid w:val="00661B95"/>
    <w:rsid w:val="006655C2"/>
    <w:rsid w:val="00666615"/>
    <w:rsid w:val="00682310"/>
    <w:rsid w:val="006F506D"/>
    <w:rsid w:val="007057C5"/>
    <w:rsid w:val="00762A58"/>
    <w:rsid w:val="007C2F19"/>
    <w:rsid w:val="007F36DD"/>
    <w:rsid w:val="00822EB1"/>
    <w:rsid w:val="008A5189"/>
    <w:rsid w:val="008C7EDF"/>
    <w:rsid w:val="00946DD8"/>
    <w:rsid w:val="0095039E"/>
    <w:rsid w:val="00995E04"/>
    <w:rsid w:val="009B1239"/>
    <w:rsid w:val="009F6373"/>
    <w:rsid w:val="00B223A2"/>
    <w:rsid w:val="00B23072"/>
    <w:rsid w:val="00BA0768"/>
    <w:rsid w:val="00BC768A"/>
    <w:rsid w:val="00C1296B"/>
    <w:rsid w:val="00C2476F"/>
    <w:rsid w:val="00C56B5A"/>
    <w:rsid w:val="00C84FAC"/>
    <w:rsid w:val="00CB2728"/>
    <w:rsid w:val="00CD03FC"/>
    <w:rsid w:val="00D433AC"/>
    <w:rsid w:val="00D472AD"/>
    <w:rsid w:val="00D53313"/>
    <w:rsid w:val="00D677DA"/>
    <w:rsid w:val="00DD353E"/>
    <w:rsid w:val="00E3304D"/>
    <w:rsid w:val="00E66672"/>
    <w:rsid w:val="00E913F2"/>
    <w:rsid w:val="00EA6C26"/>
    <w:rsid w:val="00ED1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3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2</cp:revision>
  <dcterms:created xsi:type="dcterms:W3CDTF">2011-11-22T21:41:00Z</dcterms:created>
  <dcterms:modified xsi:type="dcterms:W3CDTF">2011-11-22T21:41:00Z</dcterms:modified>
</cp:coreProperties>
</file>