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5D1552" w:rsidRDefault="007057C5" w:rsidP="00661B95">
      <w:pPr>
        <w:jc w:val="center"/>
        <w:rPr>
          <w:b/>
          <w:sz w:val="22"/>
        </w:rPr>
      </w:pPr>
      <w:r w:rsidRPr="005D1552">
        <w:rPr>
          <w:b/>
          <w:sz w:val="22"/>
        </w:rPr>
        <w:t>GRADUATE PROGRAM COORDINATORS MEETING</w:t>
      </w:r>
    </w:p>
    <w:p w:rsidR="00661B95" w:rsidRPr="00661B95" w:rsidRDefault="00026E4B" w:rsidP="00661B95">
      <w:pPr>
        <w:jc w:val="center"/>
        <w:rPr>
          <w:b/>
          <w:color w:val="FF0000"/>
          <w:sz w:val="22"/>
        </w:rPr>
      </w:pPr>
      <w:r w:rsidRPr="005D1552">
        <w:rPr>
          <w:b/>
          <w:sz w:val="22"/>
        </w:rPr>
        <w:t>December 8, 2011</w:t>
      </w:r>
    </w:p>
    <w:p w:rsidR="00661B95" w:rsidRDefault="00661B95" w:rsidP="00661B95">
      <w:pPr>
        <w:jc w:val="center"/>
      </w:pPr>
    </w:p>
    <w:p w:rsidR="005D1552" w:rsidRDefault="005D1552" w:rsidP="005D155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2430"/>
        <w:gridCol w:w="2610"/>
        <w:gridCol w:w="2480"/>
      </w:tblGrid>
      <w:tr w:rsidR="005D1552" w:rsidRPr="00EC1F29" w:rsidTr="005D1552">
        <w:trPr>
          <w:trHeight w:val="240"/>
        </w:trPr>
        <w:tc>
          <w:tcPr>
            <w:tcW w:w="2718" w:type="dxa"/>
          </w:tcPr>
          <w:p w:rsidR="005D1552" w:rsidRPr="00EC1F29" w:rsidRDefault="005D1552" w:rsidP="00F82A39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430" w:type="dxa"/>
          </w:tcPr>
          <w:p w:rsidR="005D1552" w:rsidRPr="00EC1F29" w:rsidRDefault="005D1552" w:rsidP="00F82A39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610" w:type="dxa"/>
          </w:tcPr>
          <w:p w:rsidR="005D1552" w:rsidRPr="00EC1F29" w:rsidRDefault="005D1552" w:rsidP="00F82A39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480" w:type="dxa"/>
          </w:tcPr>
          <w:p w:rsidR="005D1552" w:rsidRPr="00EC1F29" w:rsidRDefault="005D1552" w:rsidP="00F82A39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TLC</w:t>
            </w:r>
          </w:p>
        </w:tc>
      </w:tr>
      <w:tr w:rsidR="005D1552" w:rsidRPr="00EC1F29" w:rsidTr="005D1552">
        <w:trPr>
          <w:trHeight w:val="287"/>
        </w:trPr>
        <w:tc>
          <w:tcPr>
            <w:tcW w:w="2718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Hackney, Cathy</w:t>
            </w:r>
          </w:p>
        </w:tc>
        <w:tc>
          <w:tcPr>
            <w:tcW w:w="243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Glickman, Ellen</w:t>
            </w:r>
          </w:p>
        </w:tc>
        <w:tc>
          <w:tcPr>
            <w:tcW w:w="261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Barton, Lyle</w:t>
            </w:r>
          </w:p>
        </w:tc>
        <w:tc>
          <w:tcPr>
            <w:tcW w:w="248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Kroeger, Janice</w:t>
            </w:r>
          </w:p>
        </w:tc>
      </w:tr>
      <w:tr w:rsidR="005D1552" w:rsidRPr="00EC1F29" w:rsidTr="005D1552">
        <w:trPr>
          <w:trHeight w:val="287"/>
        </w:trPr>
        <w:tc>
          <w:tcPr>
            <w:tcW w:w="2718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Kretovics, Mark</w:t>
            </w:r>
          </w:p>
        </w:tc>
        <w:tc>
          <w:tcPr>
            <w:tcW w:w="243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Ding, Kele</w:t>
            </w:r>
          </w:p>
        </w:tc>
        <w:tc>
          <w:tcPr>
            <w:tcW w:w="261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Cowan, Richard</w:t>
            </w:r>
          </w:p>
        </w:tc>
        <w:tc>
          <w:tcPr>
            <w:tcW w:w="248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Morgan, Denise</w:t>
            </w:r>
          </w:p>
        </w:tc>
      </w:tr>
      <w:tr w:rsidR="005D1552" w:rsidRPr="00EC1F29" w:rsidTr="005D1552">
        <w:trPr>
          <w:trHeight w:val="287"/>
        </w:trPr>
        <w:tc>
          <w:tcPr>
            <w:tcW w:w="2718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Lyberger, Mark</w:t>
            </w:r>
          </w:p>
        </w:tc>
        <w:tc>
          <w:tcPr>
            <w:tcW w:w="243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Cox, Jane</w:t>
            </w:r>
          </w:p>
        </w:tc>
        <w:tc>
          <w:tcPr>
            <w:tcW w:w="248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</w:tr>
      <w:tr w:rsidR="005D1552" w:rsidRPr="00EC1F29" w:rsidTr="005D1552">
        <w:trPr>
          <w:trHeight w:val="287"/>
        </w:trPr>
        <w:tc>
          <w:tcPr>
            <w:tcW w:w="2718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McClelland, Averil</w:t>
            </w:r>
          </w:p>
        </w:tc>
        <w:tc>
          <w:tcPr>
            <w:tcW w:w="243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Richardson, Rhonda</w:t>
            </w:r>
          </w:p>
        </w:tc>
        <w:tc>
          <w:tcPr>
            <w:tcW w:w="248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</w:tr>
      <w:tr w:rsidR="005D1552" w:rsidRPr="00EC1F29" w:rsidTr="005D1552">
        <w:trPr>
          <w:trHeight w:val="258"/>
        </w:trPr>
        <w:tc>
          <w:tcPr>
            <w:tcW w:w="2718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Shawn Fitzgerald for Tricia Niesz</w:t>
            </w:r>
          </w:p>
        </w:tc>
        <w:tc>
          <w:tcPr>
            <w:tcW w:w="243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</w:tr>
      <w:tr w:rsidR="005D1552" w:rsidRPr="00EC1F29" w:rsidTr="005D1552">
        <w:trPr>
          <w:trHeight w:val="258"/>
        </w:trPr>
        <w:tc>
          <w:tcPr>
            <w:tcW w:w="2718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Scheule, Barb</w:t>
            </w:r>
          </w:p>
        </w:tc>
        <w:tc>
          <w:tcPr>
            <w:tcW w:w="243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auto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</w:tr>
    </w:tbl>
    <w:p w:rsidR="005D1552" w:rsidRPr="00BB3F7E" w:rsidRDefault="005D1552" w:rsidP="005D1552">
      <w:pPr>
        <w:rPr>
          <w:sz w:val="18"/>
          <w:szCs w:val="18"/>
        </w:rPr>
      </w:pPr>
      <w:r w:rsidRPr="00BB3F7E">
        <w:rPr>
          <w:sz w:val="18"/>
          <w:szCs w:val="18"/>
        </w:rPr>
        <w:t xml:space="preserve">Nancy Barbour, Admin. Affairs; </w:t>
      </w:r>
      <w:r>
        <w:rPr>
          <w:sz w:val="18"/>
          <w:szCs w:val="18"/>
        </w:rPr>
        <w:t>Luci Wymer, Recorder</w:t>
      </w:r>
    </w:p>
    <w:p w:rsidR="005D1552" w:rsidRPr="00BB3F7E" w:rsidRDefault="005D1552" w:rsidP="005D1552">
      <w:pPr>
        <w:rPr>
          <w:sz w:val="18"/>
          <w:szCs w:val="18"/>
        </w:rPr>
      </w:pPr>
    </w:p>
    <w:p w:rsidR="005D1552" w:rsidRPr="00BB3F7E" w:rsidRDefault="005D1552" w:rsidP="005D1552">
      <w:pPr>
        <w:rPr>
          <w:sz w:val="18"/>
          <w:szCs w:val="18"/>
        </w:rPr>
      </w:pPr>
      <w:r w:rsidRPr="00BB3F7E">
        <w:rPr>
          <w:sz w:val="18"/>
          <w:szCs w:val="18"/>
        </w:rPr>
        <w:t>MEMBERS ABSENT: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2430"/>
        <w:gridCol w:w="2574"/>
        <w:gridCol w:w="2574"/>
      </w:tblGrid>
      <w:tr w:rsidR="005D1552" w:rsidRPr="00EC1F29" w:rsidTr="005D1552">
        <w:tc>
          <w:tcPr>
            <w:tcW w:w="2718" w:type="dxa"/>
          </w:tcPr>
          <w:p w:rsidR="005D1552" w:rsidRPr="00EC1F29" w:rsidRDefault="005D1552" w:rsidP="00F82A39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430" w:type="dxa"/>
          </w:tcPr>
          <w:p w:rsidR="005D1552" w:rsidRPr="00EC1F29" w:rsidRDefault="005D1552" w:rsidP="00F82A39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574" w:type="dxa"/>
          </w:tcPr>
          <w:p w:rsidR="005D1552" w:rsidRPr="00EC1F29" w:rsidRDefault="005D1552" w:rsidP="00F82A39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574" w:type="dxa"/>
          </w:tcPr>
          <w:p w:rsidR="005D1552" w:rsidRPr="00EC1F29" w:rsidRDefault="005D1552" w:rsidP="00F82A39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TLC</w:t>
            </w:r>
          </w:p>
        </w:tc>
      </w:tr>
      <w:tr w:rsidR="005D1552" w:rsidRPr="00EC1F29" w:rsidTr="005D1552">
        <w:trPr>
          <w:trHeight w:val="233"/>
        </w:trPr>
        <w:tc>
          <w:tcPr>
            <w:tcW w:w="2718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Burzminski, Nancy</w:t>
            </w:r>
          </w:p>
        </w:tc>
        <w:tc>
          <w:tcPr>
            <w:tcW w:w="2574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McGlothlin, Jason</w:t>
            </w:r>
          </w:p>
        </w:tc>
        <w:tc>
          <w:tcPr>
            <w:tcW w:w="2574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Brooks, Bette</w:t>
            </w:r>
          </w:p>
        </w:tc>
      </w:tr>
      <w:tr w:rsidR="005D1552" w:rsidRPr="00EC1F29" w:rsidTr="005D1552">
        <w:trPr>
          <w:trHeight w:val="233"/>
        </w:trPr>
        <w:tc>
          <w:tcPr>
            <w:tcW w:w="2718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Gordon, Karen</w:t>
            </w:r>
          </w:p>
        </w:tc>
        <w:tc>
          <w:tcPr>
            <w:tcW w:w="2574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Rumrill, Phil</w:t>
            </w:r>
          </w:p>
        </w:tc>
        <w:tc>
          <w:tcPr>
            <w:tcW w:w="2574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Collier, Connie</w:t>
            </w:r>
          </w:p>
        </w:tc>
      </w:tr>
      <w:tr w:rsidR="005D1552" w:rsidRPr="00EC1F29" w:rsidTr="005D1552">
        <w:tc>
          <w:tcPr>
            <w:tcW w:w="2718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Hawks, John</w:t>
            </w:r>
          </w:p>
        </w:tc>
        <w:tc>
          <w:tcPr>
            <w:tcW w:w="2574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Tiene, Drew</w:t>
            </w:r>
          </w:p>
        </w:tc>
        <w:tc>
          <w:tcPr>
            <w:tcW w:w="2574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Henderson, Jim</w:t>
            </w:r>
          </w:p>
        </w:tc>
      </w:tr>
      <w:tr w:rsidR="005D1552" w:rsidRPr="00EC1F29" w:rsidTr="005D1552">
        <w:tc>
          <w:tcPr>
            <w:tcW w:w="2718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Jonas, Jay</w:t>
            </w:r>
          </w:p>
        </w:tc>
        <w:tc>
          <w:tcPr>
            <w:tcW w:w="2574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Hutchison, Janice</w:t>
            </w:r>
          </w:p>
        </w:tc>
      </w:tr>
      <w:tr w:rsidR="005D1552" w:rsidRPr="00EC1F29" w:rsidTr="005D1552">
        <w:tc>
          <w:tcPr>
            <w:tcW w:w="2718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O’Connor, Pat</w:t>
            </w:r>
          </w:p>
        </w:tc>
      </w:tr>
      <w:tr w:rsidR="005D1552" w:rsidRPr="00EC1F29" w:rsidTr="005D1552">
        <w:tc>
          <w:tcPr>
            <w:tcW w:w="2718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5D1552" w:rsidRPr="00EC1F29" w:rsidRDefault="005D1552" w:rsidP="00F82A39">
            <w:pPr>
              <w:rPr>
                <w:sz w:val="18"/>
                <w:szCs w:val="18"/>
              </w:rPr>
            </w:pPr>
          </w:p>
        </w:tc>
      </w:tr>
    </w:tbl>
    <w:p w:rsidR="005D1552" w:rsidRDefault="005D1552" w:rsidP="005D1552">
      <w:r w:rsidRPr="00BB3F7E">
        <w:rPr>
          <w:sz w:val="18"/>
          <w:szCs w:val="18"/>
        </w:rPr>
        <w:t>GUESTS:</w:t>
      </w:r>
      <w:r>
        <w:rPr>
          <w:sz w:val="18"/>
          <w:szCs w:val="18"/>
        </w:rPr>
        <w:t xml:space="preserve">  None</w:t>
      </w:r>
    </w:p>
    <w:p w:rsidR="00661B95" w:rsidRDefault="00661B95" w:rsidP="00661B95"/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Tr="00661B95">
        <w:tc>
          <w:tcPr>
            <w:tcW w:w="2178" w:type="dxa"/>
          </w:tcPr>
          <w:p w:rsidR="00661B95" w:rsidRPr="00661B95" w:rsidRDefault="00661B95" w:rsidP="00661B95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94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 w:rsidRPr="00661B95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4E71F8" w:rsidTr="00661B95">
        <w:tc>
          <w:tcPr>
            <w:tcW w:w="2178" w:type="dxa"/>
          </w:tcPr>
          <w:p w:rsidR="004E71F8" w:rsidRDefault="004E71F8" w:rsidP="00661B95">
            <w:r>
              <w:t>Nov. Minutes</w:t>
            </w:r>
          </w:p>
        </w:tc>
        <w:tc>
          <w:tcPr>
            <w:tcW w:w="5940" w:type="dxa"/>
          </w:tcPr>
          <w:p w:rsidR="004E71F8" w:rsidRPr="00661B95" w:rsidRDefault="004E71F8" w:rsidP="00661B95">
            <w:r>
              <w:t>No corrections or additions were heard.  Cathy Hackney made a motion to approve the minutes as they stand.  Approved unanimously</w:t>
            </w:r>
          </w:p>
        </w:tc>
        <w:tc>
          <w:tcPr>
            <w:tcW w:w="2178" w:type="dxa"/>
          </w:tcPr>
          <w:p w:rsidR="004E71F8" w:rsidRDefault="004E71F8" w:rsidP="00661B95"/>
        </w:tc>
      </w:tr>
      <w:tr w:rsidR="00661B95" w:rsidTr="00661B95">
        <w:tc>
          <w:tcPr>
            <w:tcW w:w="2178" w:type="dxa"/>
          </w:tcPr>
          <w:p w:rsidR="00661B95" w:rsidRDefault="00887280" w:rsidP="00661B95">
            <w:r>
              <w:t>Graduate Dean’s Research Award</w:t>
            </w:r>
          </w:p>
        </w:tc>
        <w:tc>
          <w:tcPr>
            <w:tcW w:w="5940" w:type="dxa"/>
          </w:tcPr>
          <w:p w:rsidR="00815EF8" w:rsidRDefault="00F95380" w:rsidP="00815EF8">
            <w:r>
              <w:t xml:space="preserve">Nancy shared a new research award that will be </w:t>
            </w:r>
            <w:r w:rsidR="004E71F8">
              <w:t xml:space="preserve">offered </w:t>
            </w:r>
            <w:r>
              <w:t>by</w:t>
            </w:r>
            <w:r w:rsidR="00CF0FAC">
              <w:t xml:space="preserve"> Graduate Studies</w:t>
            </w:r>
            <w:r w:rsidR="004E71F8">
              <w:t xml:space="preserve">.  </w:t>
            </w:r>
            <w:r>
              <w:t>The goal of the award is</w:t>
            </w:r>
            <w:r w:rsidR="004E71F8">
              <w:t xml:space="preserve"> to attract </w:t>
            </w:r>
            <w:r>
              <w:t>underrepresented</w:t>
            </w:r>
            <w:r w:rsidR="004E71F8">
              <w:t xml:space="preserve"> group</w:t>
            </w:r>
            <w:r w:rsidR="00CA42AE">
              <w:t>s</w:t>
            </w:r>
            <w:r w:rsidR="004E71F8">
              <w:t xml:space="preserve"> into the </w:t>
            </w:r>
            <w:r w:rsidR="000617D4">
              <w:t>University</w:t>
            </w:r>
            <w:r w:rsidR="004E71F8">
              <w:t xml:space="preserve">. </w:t>
            </w:r>
            <w:r w:rsidR="00815EF8">
              <w:t>Requirements for the award are:</w:t>
            </w:r>
          </w:p>
          <w:p w:rsidR="000617D4" w:rsidRDefault="000617D4" w:rsidP="00815EF8"/>
          <w:p w:rsidR="00815EF8" w:rsidRDefault="00815EF8" w:rsidP="00815EF8">
            <w:pPr>
              <w:pStyle w:val="ListParagraph"/>
              <w:numPr>
                <w:ilvl w:val="0"/>
                <w:numId w:val="1"/>
              </w:numPr>
            </w:pPr>
            <w:r>
              <w:t>Newly admitted student</w:t>
            </w:r>
          </w:p>
          <w:p w:rsidR="00815EF8" w:rsidRDefault="00815EF8" w:rsidP="00815EF8">
            <w:pPr>
              <w:pStyle w:val="ListParagraph"/>
              <w:numPr>
                <w:ilvl w:val="0"/>
                <w:numId w:val="1"/>
              </w:numPr>
            </w:pPr>
            <w:r>
              <w:t xml:space="preserve">Student has been given a </w:t>
            </w:r>
            <w:proofErr w:type="spellStart"/>
            <w:r>
              <w:t>GAship</w:t>
            </w:r>
            <w:proofErr w:type="spellEnd"/>
          </w:p>
          <w:p w:rsidR="00815EF8" w:rsidRDefault="00815EF8" w:rsidP="00815EF8">
            <w:pPr>
              <w:pStyle w:val="ListParagraph"/>
              <w:numPr>
                <w:ilvl w:val="0"/>
                <w:numId w:val="1"/>
              </w:numPr>
            </w:pPr>
            <w:r>
              <w:t>Student must be full time</w:t>
            </w:r>
          </w:p>
          <w:p w:rsidR="00815EF8" w:rsidRDefault="00815EF8" w:rsidP="00815EF8"/>
          <w:p w:rsidR="00661B95" w:rsidRPr="00661B95" w:rsidRDefault="004E71F8" w:rsidP="000617D4">
            <w:r>
              <w:t>If</w:t>
            </w:r>
            <w:r w:rsidR="00F95380">
              <w:t xml:space="preserve"> a newly </w:t>
            </w:r>
            <w:r w:rsidR="00815EF8">
              <w:t xml:space="preserve">admitted </w:t>
            </w:r>
            <w:r>
              <w:t>student</w:t>
            </w:r>
            <w:r w:rsidR="00815EF8">
              <w:t xml:space="preserve"> meets the requirements faculty </w:t>
            </w:r>
            <w:r>
              <w:t>can</w:t>
            </w:r>
            <w:r w:rsidR="00815EF8">
              <w:t xml:space="preserve"> nominate them</w:t>
            </w:r>
            <w:r>
              <w:t xml:space="preserve"> this award</w:t>
            </w:r>
            <w:r w:rsidR="00815EF8">
              <w:t xml:space="preserve">.  The Award will be for an </w:t>
            </w:r>
            <w:r>
              <w:t xml:space="preserve">additional </w:t>
            </w:r>
            <w:r w:rsidR="00815EF8">
              <w:t>$</w:t>
            </w:r>
            <w:r>
              <w:t>5</w:t>
            </w:r>
            <w:r w:rsidR="00815EF8">
              <w:t>,000</w:t>
            </w:r>
            <w:r>
              <w:t xml:space="preserve"> in stipend awarded over 2 years. Ten will be awarded for the university.  </w:t>
            </w:r>
            <w:r w:rsidR="00CA42AE">
              <w:t xml:space="preserve">Nominations will be </w:t>
            </w:r>
            <w:r w:rsidR="00815EF8">
              <w:t xml:space="preserve">taken </w:t>
            </w:r>
            <w:r w:rsidR="00CA42AE">
              <w:t>in</w:t>
            </w:r>
            <w:r w:rsidR="00815EF8">
              <w:t xml:space="preserve"> the</w:t>
            </w:r>
            <w:r w:rsidR="00CA42AE">
              <w:t xml:space="preserve"> spring semester for </w:t>
            </w:r>
            <w:r w:rsidR="00815EF8">
              <w:t>f</w:t>
            </w:r>
            <w:r w:rsidR="00CA42AE">
              <w:t>all admission</w:t>
            </w:r>
            <w:r w:rsidR="00815EF8">
              <w:t>s</w:t>
            </w:r>
            <w:r w:rsidR="00CA42AE">
              <w:t xml:space="preserve">.  </w:t>
            </w:r>
          </w:p>
        </w:tc>
        <w:tc>
          <w:tcPr>
            <w:tcW w:w="2178" w:type="dxa"/>
          </w:tcPr>
          <w:p w:rsidR="00661B95" w:rsidRDefault="00661B95" w:rsidP="00661B95"/>
        </w:tc>
      </w:tr>
      <w:tr w:rsidR="00661B95" w:rsidTr="00661B95">
        <w:tc>
          <w:tcPr>
            <w:tcW w:w="2178" w:type="dxa"/>
          </w:tcPr>
          <w:p w:rsidR="00661B95" w:rsidRDefault="00887280" w:rsidP="00661B95">
            <w:r>
              <w:t>Additional Graduate Assistant Employment</w:t>
            </w:r>
          </w:p>
        </w:tc>
        <w:tc>
          <w:tcPr>
            <w:tcW w:w="5940" w:type="dxa"/>
          </w:tcPr>
          <w:p w:rsidR="00661B95" w:rsidRDefault="0075746E" w:rsidP="0075746E">
            <w:r>
              <w:t>T</w:t>
            </w:r>
            <w:r w:rsidR="006C2DB3">
              <w:t xml:space="preserve">here has been a huge increase in additional employment requests.  The process </w:t>
            </w:r>
            <w:r>
              <w:t xml:space="preserve">for these </w:t>
            </w:r>
            <w:r w:rsidR="006C2DB3">
              <w:t>was explained.  Graduate Studies is not approving these unless they are truly special cases and are only temporary.</w:t>
            </w:r>
            <w:r w:rsidR="005961CC">
              <w:t xml:space="preserve">  </w:t>
            </w:r>
            <w:r>
              <w:t>T</w:t>
            </w:r>
            <w:r w:rsidR="005961CC">
              <w:t>he rational</w:t>
            </w:r>
            <w:r w:rsidR="00C66034">
              <w:t>e</w:t>
            </w:r>
            <w:r w:rsidR="005961CC">
              <w:t xml:space="preserve"> is that</w:t>
            </w:r>
            <w:r>
              <w:t xml:space="preserve"> a</w:t>
            </w:r>
            <w:r w:rsidR="005961CC">
              <w:t xml:space="preserve"> 20 hr </w:t>
            </w:r>
            <w:proofErr w:type="spellStart"/>
            <w:r w:rsidR="005961CC">
              <w:lastRenderedPageBreak/>
              <w:t>GAship</w:t>
            </w:r>
            <w:proofErr w:type="spellEnd"/>
            <w:r w:rsidR="005961CC">
              <w:t xml:space="preserve"> is based on 20 hours of academic</w:t>
            </w:r>
            <w:r>
              <w:t xml:space="preserve"> work and is</w:t>
            </w:r>
            <w:r w:rsidR="005961CC">
              <w:t xml:space="preserve"> considered 40 hrs and fulltime</w:t>
            </w:r>
            <w:r>
              <w:t>.  Graduate Studies feels that</w:t>
            </w:r>
            <w:r w:rsidR="005961CC">
              <w:t xml:space="preserve"> additional time would impede progress toward completion.</w:t>
            </w:r>
            <w:r w:rsidR="00211EC6">
              <w:t xml:space="preserve">  </w:t>
            </w:r>
            <w:r>
              <w:t>Requests</w:t>
            </w:r>
            <w:r w:rsidR="00211EC6">
              <w:t xml:space="preserve"> being approved are temporary perhaps 2 w</w:t>
            </w:r>
            <w:r w:rsidR="00D53402">
              <w:t>ee</w:t>
            </w:r>
            <w:r w:rsidR="00211EC6">
              <w:t>k</w:t>
            </w:r>
            <w:r w:rsidR="00D53402">
              <w:t>s and</w:t>
            </w:r>
            <w:r w:rsidR="00211EC6">
              <w:t xml:space="preserve"> </w:t>
            </w:r>
            <w:r w:rsidR="00C66034">
              <w:t>for special</w:t>
            </w:r>
            <w:r w:rsidR="00211EC6">
              <w:t xml:space="preserve"> project</w:t>
            </w:r>
            <w:r>
              <w:t>s</w:t>
            </w:r>
            <w:r w:rsidR="00211EC6">
              <w:t xml:space="preserve">.  </w:t>
            </w:r>
          </w:p>
        </w:tc>
        <w:tc>
          <w:tcPr>
            <w:tcW w:w="2178" w:type="dxa"/>
          </w:tcPr>
          <w:p w:rsidR="00661B95" w:rsidRDefault="00661B95" w:rsidP="00661B95"/>
        </w:tc>
      </w:tr>
      <w:tr w:rsidR="00661B95" w:rsidTr="00661B95">
        <w:tc>
          <w:tcPr>
            <w:tcW w:w="2178" w:type="dxa"/>
          </w:tcPr>
          <w:p w:rsidR="00661B95" w:rsidRDefault="00887280" w:rsidP="00661B95">
            <w:r>
              <w:lastRenderedPageBreak/>
              <w:t>EHHS Graduate Student Research Award</w:t>
            </w:r>
          </w:p>
        </w:tc>
        <w:tc>
          <w:tcPr>
            <w:tcW w:w="5940" w:type="dxa"/>
          </w:tcPr>
          <w:p w:rsidR="000825CC" w:rsidRDefault="0088232A" w:rsidP="00792F66">
            <w:r>
              <w:t>The Student Research Award will be given by the Research Council and will take the place of the Dissertation Awards.  Nancy explained she would like</w:t>
            </w:r>
            <w:r w:rsidR="005629C5">
              <w:t xml:space="preserve"> these to begin Spring semester.  </w:t>
            </w:r>
            <w:r>
              <w:t xml:space="preserve">The Award will be given to </w:t>
            </w:r>
            <w:r w:rsidR="00075655">
              <w:t xml:space="preserve">students who go above and beyond in the area of research.  One will be given at the doctoral level and one at </w:t>
            </w:r>
            <w:proofErr w:type="gramStart"/>
            <w:r w:rsidR="007547A8">
              <w:t>either the</w:t>
            </w:r>
            <w:proofErr w:type="gramEnd"/>
            <w:r w:rsidR="007547A8">
              <w:t xml:space="preserve"> Masters</w:t>
            </w:r>
            <w:r w:rsidR="00075655">
              <w:t xml:space="preserve">, </w:t>
            </w:r>
            <w:r>
              <w:t>AUD</w:t>
            </w:r>
            <w:r w:rsidR="002F4BA5">
              <w:t xml:space="preserve"> or </w:t>
            </w:r>
            <w:proofErr w:type="spellStart"/>
            <w:r w:rsidR="002F4BA5">
              <w:t>EdS</w:t>
            </w:r>
            <w:r w:rsidR="00075655">
              <w:t>.</w:t>
            </w:r>
            <w:proofErr w:type="spellEnd"/>
            <w:r w:rsidR="00075655">
              <w:t xml:space="preserve">  </w:t>
            </w:r>
            <w:r>
              <w:t>M</w:t>
            </w:r>
            <w:r w:rsidR="00075655">
              <w:t>embers</w:t>
            </w:r>
            <w:r>
              <w:t xml:space="preserve"> were </w:t>
            </w:r>
            <w:r w:rsidR="007547A8">
              <w:t>asked to</w:t>
            </w:r>
            <w:r w:rsidR="00075655">
              <w:t xml:space="preserve"> pass the information on </w:t>
            </w:r>
            <w:r>
              <w:t xml:space="preserve">to </w:t>
            </w:r>
            <w:r w:rsidR="00075655">
              <w:t xml:space="preserve">the faculty in their department so they can be thinking of </w:t>
            </w:r>
            <w:r>
              <w:t>students they may want</w:t>
            </w:r>
            <w:r w:rsidR="00075655">
              <w:t xml:space="preserve"> to nominate.  </w:t>
            </w:r>
            <w:r w:rsidR="00792F66">
              <w:t xml:space="preserve">Nominating </w:t>
            </w:r>
            <w:r w:rsidR="000200AF">
              <w:t>a student</w:t>
            </w:r>
            <w:r w:rsidR="00075655">
              <w:t xml:space="preserve"> </w:t>
            </w:r>
            <w:r w:rsidR="000200AF">
              <w:t xml:space="preserve">assisting in </w:t>
            </w:r>
            <w:r w:rsidR="00075655">
              <w:t xml:space="preserve">someone else’s research </w:t>
            </w:r>
            <w:r w:rsidR="00792F66">
              <w:t>was questioned</w:t>
            </w:r>
            <w:r w:rsidR="00075655">
              <w:t>.  N</w:t>
            </w:r>
            <w:r w:rsidR="007547A8">
              <w:t>ancy</w:t>
            </w:r>
            <w:r w:rsidR="00075655">
              <w:t xml:space="preserve"> explained </w:t>
            </w:r>
            <w:r w:rsidR="000200AF">
              <w:t>a student</w:t>
            </w:r>
            <w:r w:rsidR="00075655">
              <w:t xml:space="preserve"> may be working with a faculty member and the committee wanted to encourage collaboration.  It was requested the information be sent to all faculty members.  Self nomination will not be allowed.  </w:t>
            </w:r>
            <w:r w:rsidR="000200AF">
              <w:t xml:space="preserve">The Research Council </w:t>
            </w:r>
            <w:r w:rsidR="00075655">
              <w:t xml:space="preserve">would like to award this during the April award ceremony.  </w:t>
            </w:r>
            <w:r w:rsidR="000200AF">
              <w:t>T</w:t>
            </w:r>
            <w:r w:rsidR="006D296A">
              <w:t xml:space="preserve">his will be for current students at this time.  This may be changed at a later date to include students who have recently graduated.  </w:t>
            </w:r>
            <w:r w:rsidR="000825CC">
              <w:t>There was discussion that at the Master’s level the research is done at the end and they are usually gone directly after their thesis is complete.  N</w:t>
            </w:r>
            <w:r w:rsidR="007547A8">
              <w:t>ancy</w:t>
            </w:r>
            <w:r w:rsidR="000825CC">
              <w:t xml:space="preserve"> stated that she would be willing to take it back to the Research Committee to extend this beyond graduation for a time period.  Shawn Fitzgerald moved to extend the time frame for the Master’s students.  The group would also like the committee to rethink consideration of students working with a faculty member on a project.  </w:t>
            </w:r>
            <w:r w:rsidR="00000385">
              <w:t>There was c</w:t>
            </w:r>
            <w:r w:rsidR="001D559D">
              <w:t xml:space="preserve">oncern about the timing.  </w:t>
            </w:r>
            <w:r w:rsidR="00727E43">
              <w:t>N</w:t>
            </w:r>
            <w:r w:rsidR="007547A8">
              <w:t>ancy</w:t>
            </w:r>
            <w:r w:rsidR="00727E43">
              <w:t xml:space="preserve"> will take this information back to the Research committee for consideration of the group’s concerns.  She asked them to be thinking about students they might nominate.</w:t>
            </w:r>
          </w:p>
        </w:tc>
        <w:tc>
          <w:tcPr>
            <w:tcW w:w="2178" w:type="dxa"/>
          </w:tcPr>
          <w:p w:rsidR="00661B95" w:rsidRDefault="000825CC" w:rsidP="00F82A39">
            <w:r>
              <w:t>N</w:t>
            </w:r>
            <w:r w:rsidR="00F82A39">
              <w:t xml:space="preserve">ancy </w:t>
            </w:r>
            <w:r>
              <w:t xml:space="preserve">will query the Research </w:t>
            </w:r>
            <w:r w:rsidR="00F82A39">
              <w:t>Council</w:t>
            </w:r>
            <w:r>
              <w:t xml:space="preserve"> </w:t>
            </w:r>
            <w:r w:rsidR="00F82A39">
              <w:t>r</w:t>
            </w:r>
            <w:r>
              <w:t xml:space="preserve">egarding </w:t>
            </w:r>
            <w:r w:rsidR="00F82A39">
              <w:t xml:space="preserve">their </w:t>
            </w:r>
            <w:r>
              <w:t xml:space="preserve">willingness to extend the Masters </w:t>
            </w:r>
            <w:r w:rsidR="00F82A39">
              <w:t>A</w:t>
            </w:r>
            <w:r>
              <w:t>ward</w:t>
            </w:r>
            <w:r w:rsidR="00727E43">
              <w:t xml:space="preserve"> beyond graduation.  There was no specific time frame requested.  </w:t>
            </w:r>
          </w:p>
        </w:tc>
      </w:tr>
      <w:tr w:rsidR="00887280" w:rsidTr="00661B95">
        <w:tc>
          <w:tcPr>
            <w:tcW w:w="2178" w:type="dxa"/>
          </w:tcPr>
          <w:p w:rsidR="00887280" w:rsidRDefault="00887280" w:rsidP="00661B95">
            <w:r>
              <w:t xml:space="preserve">Admissions Issues (CV </w:t>
            </w:r>
            <w:proofErr w:type="spellStart"/>
            <w:r>
              <w:t>vs</w:t>
            </w:r>
            <w:proofErr w:type="spellEnd"/>
            <w:r>
              <w:t xml:space="preserve"> Personal Statement</w:t>
            </w:r>
            <w:r w:rsidR="00F6170A">
              <w:t>)</w:t>
            </w:r>
          </w:p>
        </w:tc>
        <w:tc>
          <w:tcPr>
            <w:tcW w:w="5940" w:type="dxa"/>
          </w:tcPr>
          <w:p w:rsidR="00887280" w:rsidRDefault="00F6170A" w:rsidP="00F6170A">
            <w:r>
              <w:t>T</w:t>
            </w:r>
            <w:r w:rsidR="00187A93">
              <w:t>here was no resolution whether the admissions requirements would change to a CV instead of the personal statement</w:t>
            </w:r>
            <w:r>
              <w:t xml:space="preserve"> or not</w:t>
            </w:r>
            <w:r w:rsidR="00187A93">
              <w:t>.  Several programs indicated that they have both.  The members indicated that they would like to maintain both at the admissions process.  They use these for various purposes including as a sample of the student’s writing ability and their goals.</w:t>
            </w:r>
          </w:p>
        </w:tc>
        <w:tc>
          <w:tcPr>
            <w:tcW w:w="2178" w:type="dxa"/>
          </w:tcPr>
          <w:p w:rsidR="00887280" w:rsidRDefault="00887280" w:rsidP="00661B95"/>
        </w:tc>
      </w:tr>
      <w:tr w:rsidR="00887280" w:rsidTr="00661B95">
        <w:tc>
          <w:tcPr>
            <w:tcW w:w="2178" w:type="dxa"/>
          </w:tcPr>
          <w:p w:rsidR="00887280" w:rsidRDefault="00887280" w:rsidP="00661B95">
            <w:r>
              <w:t>Admissions Letters</w:t>
            </w:r>
          </w:p>
        </w:tc>
        <w:tc>
          <w:tcPr>
            <w:tcW w:w="5940" w:type="dxa"/>
          </w:tcPr>
          <w:p w:rsidR="00887280" w:rsidRDefault="008B2975" w:rsidP="00661B95">
            <w:r>
              <w:t xml:space="preserve">In the last GSAAC meeting </w:t>
            </w:r>
            <w:r w:rsidR="00DB78F9">
              <w:t>members</w:t>
            </w:r>
            <w:r>
              <w:t xml:space="preserve"> were told </w:t>
            </w:r>
            <w:r w:rsidR="00DB78F9">
              <w:t xml:space="preserve">that </w:t>
            </w:r>
            <w:r>
              <w:t xml:space="preserve">as of </w:t>
            </w:r>
            <w:r w:rsidR="00694672">
              <w:t>February</w:t>
            </w:r>
            <w:r>
              <w:t xml:space="preserve"> Graduate Studies will be sending out a generic letter admitting students to programs</w:t>
            </w:r>
            <w:r w:rsidR="00694672">
              <w:t xml:space="preserve"> in place of the current letter</w:t>
            </w:r>
            <w:r>
              <w:t xml:space="preserve">.  The program coordinator’s name and contact information will be on this letter.  </w:t>
            </w:r>
            <w:r w:rsidR="00DB78F9">
              <w:t>Nancy</w:t>
            </w:r>
            <w:r>
              <w:t xml:space="preserve"> shared that there will be a letter crafted specifically for </w:t>
            </w:r>
            <w:r w:rsidR="00DB78F9">
              <w:t xml:space="preserve">EHHS in addition to </w:t>
            </w:r>
            <w:r w:rsidR="00DB78F9">
              <w:lastRenderedPageBreak/>
              <w:t>the Grad Studies letter</w:t>
            </w:r>
            <w:r>
              <w:t>.  She asked the group to think about what the letter might include</w:t>
            </w:r>
            <w:r w:rsidR="00DB78F9">
              <w:t xml:space="preserve"> and i</w:t>
            </w:r>
            <w:r>
              <w:t xml:space="preserve">f they </w:t>
            </w:r>
            <w:r w:rsidR="00DB78F9">
              <w:t>would like</w:t>
            </w:r>
            <w:r>
              <w:t xml:space="preserve"> to send their own letter or would like to contribute to what </w:t>
            </w:r>
            <w:r w:rsidR="00792F66">
              <w:t>the college</w:t>
            </w:r>
            <w:r>
              <w:t xml:space="preserve"> letter will say.  The letter that is currently being sent is very lengthy and confusing.  There was a question about the advisor’s name being included in the letter.  This could be added.  </w:t>
            </w:r>
          </w:p>
          <w:p w:rsidR="00694672" w:rsidRDefault="00694672" w:rsidP="00661B95"/>
          <w:p w:rsidR="00694672" w:rsidRDefault="00694672" w:rsidP="00D86A2D">
            <w:r>
              <w:t>There was a question if the ethnicity issue had been resolved and the issue of matching the application to the program</w:t>
            </w:r>
            <w:r w:rsidR="00476676">
              <w:t xml:space="preserve"> choices</w:t>
            </w:r>
            <w:r>
              <w:t xml:space="preserve">. </w:t>
            </w:r>
            <w:r w:rsidR="00DB78F9">
              <w:t>A</w:t>
            </w:r>
            <w:r w:rsidR="006D5FA4">
              <w:t xml:space="preserve">dditional concerns </w:t>
            </w:r>
            <w:r w:rsidR="00DB78F9">
              <w:t xml:space="preserve">were shared regarding the time lag </w:t>
            </w:r>
            <w:r w:rsidR="006D5FA4">
              <w:t>because dep</w:t>
            </w:r>
            <w:r w:rsidR="00DB78F9">
              <w:t>ar</w:t>
            </w:r>
            <w:r w:rsidR="006D5FA4">
              <w:t>t</w:t>
            </w:r>
            <w:r w:rsidR="00DB78F9">
              <w:t xml:space="preserve">ments are unsure to which </w:t>
            </w:r>
            <w:r w:rsidR="006D5FA4">
              <w:t xml:space="preserve">program </w:t>
            </w:r>
            <w:r w:rsidR="00DB78F9">
              <w:t>applicants a</w:t>
            </w:r>
            <w:r w:rsidR="006D5FA4">
              <w:t>re app</w:t>
            </w:r>
            <w:r w:rsidR="00DB78F9">
              <w:t>lying</w:t>
            </w:r>
            <w:r w:rsidR="006D5FA4">
              <w:t xml:space="preserve">. </w:t>
            </w:r>
            <w:r>
              <w:t xml:space="preserve"> </w:t>
            </w:r>
            <w:r w:rsidR="00DB78F9">
              <w:t>Nancy</w:t>
            </w:r>
            <w:r>
              <w:t xml:space="preserve"> explained that she and Nancy Mill</w:t>
            </w:r>
            <w:r w:rsidR="00DB78F9">
              <w:t>er will be meeting with Dr. Steph</w:t>
            </w:r>
            <w:r>
              <w:t xml:space="preserve">ens next week.  </w:t>
            </w:r>
            <w:r w:rsidR="001C55A0">
              <w:t>N</w:t>
            </w:r>
            <w:r w:rsidR="00D86A2D">
              <w:t>ancy</w:t>
            </w:r>
            <w:r w:rsidR="001C55A0">
              <w:t xml:space="preserve"> asked that faculty notify either </w:t>
            </w:r>
            <w:r w:rsidR="00792F66">
              <w:t>her</w:t>
            </w:r>
            <w:r w:rsidR="001C55A0">
              <w:t xml:space="preserve"> or 418 when there are any issues</w:t>
            </w:r>
            <w:r w:rsidR="00792F66">
              <w:t>,</w:t>
            </w:r>
            <w:r w:rsidR="001C55A0">
              <w:t xml:space="preserve"> </w:t>
            </w:r>
            <w:r w:rsidR="00EA0C31">
              <w:t>no matter how minor</w:t>
            </w:r>
            <w:r w:rsidR="00792F66">
              <w:t>,</w:t>
            </w:r>
            <w:r w:rsidR="00EA0C31">
              <w:t xml:space="preserve"> </w:t>
            </w:r>
            <w:r w:rsidR="001C55A0">
              <w:t xml:space="preserve">so the incidents can be documented.  </w:t>
            </w:r>
            <w:r w:rsidR="00D86A2D">
              <w:t>Members asked if they could possibly be provided a list of applicants who are in the process of applying but have not yet submitted their application.</w:t>
            </w:r>
            <w:r w:rsidR="004B27F7">
              <w:t xml:space="preserve">  J. </w:t>
            </w:r>
            <w:r w:rsidR="00C66034">
              <w:t>Kro</w:t>
            </w:r>
            <w:r w:rsidR="00792F66">
              <w:t>eger</w:t>
            </w:r>
            <w:r w:rsidR="004B27F7">
              <w:t xml:space="preserve"> stated that her email address is incorrect on the list of faculty to receive the weekly reports.</w:t>
            </w:r>
          </w:p>
        </w:tc>
        <w:tc>
          <w:tcPr>
            <w:tcW w:w="2178" w:type="dxa"/>
          </w:tcPr>
          <w:p w:rsidR="00887280" w:rsidRDefault="00887280" w:rsidP="00661B95"/>
        </w:tc>
      </w:tr>
      <w:tr w:rsidR="00887280" w:rsidTr="00661B95">
        <w:tc>
          <w:tcPr>
            <w:tcW w:w="2178" w:type="dxa"/>
          </w:tcPr>
          <w:p w:rsidR="00887280" w:rsidRDefault="00887280" w:rsidP="00661B95">
            <w:r>
              <w:lastRenderedPageBreak/>
              <w:t>Other</w:t>
            </w:r>
          </w:p>
        </w:tc>
        <w:tc>
          <w:tcPr>
            <w:tcW w:w="5940" w:type="dxa"/>
          </w:tcPr>
          <w:p w:rsidR="00887280" w:rsidRDefault="00D3478E" w:rsidP="00661B95">
            <w:r>
              <w:t>N</w:t>
            </w:r>
            <w:r w:rsidR="00722E0E">
              <w:t>ancy</w:t>
            </w:r>
            <w:r>
              <w:t xml:space="preserve"> </w:t>
            </w:r>
            <w:r w:rsidR="00722E0E">
              <w:t xml:space="preserve">reminded </w:t>
            </w:r>
            <w:r>
              <w:t>the faculty</w:t>
            </w:r>
            <w:r w:rsidR="00722E0E">
              <w:t xml:space="preserve"> the need to submit</w:t>
            </w:r>
            <w:r>
              <w:t xml:space="preserve"> the </w:t>
            </w:r>
            <w:r w:rsidR="00722E0E">
              <w:t xml:space="preserve">curriculum basic data update </w:t>
            </w:r>
            <w:r>
              <w:t xml:space="preserve">information.  </w:t>
            </w:r>
            <w:r w:rsidR="00722E0E">
              <w:t>F</w:t>
            </w:r>
            <w:r w:rsidR="00B357A7">
              <w:t xml:space="preserve">aculty </w:t>
            </w:r>
            <w:r w:rsidR="00722E0E">
              <w:t xml:space="preserve">should </w:t>
            </w:r>
            <w:r w:rsidR="00B357A7">
              <w:t xml:space="preserve">contact </w:t>
            </w:r>
            <w:r w:rsidR="00884856">
              <w:t>N</w:t>
            </w:r>
            <w:r w:rsidR="00722E0E">
              <w:t>ancy</w:t>
            </w:r>
            <w:r w:rsidR="00B357A7">
              <w:t xml:space="preserve"> with any problems. </w:t>
            </w:r>
            <w:r w:rsidR="00722E0E">
              <w:t xml:space="preserve">Faculty was asked </w:t>
            </w:r>
            <w:r w:rsidR="005147F5">
              <w:t xml:space="preserve">to let </w:t>
            </w:r>
            <w:r w:rsidR="00722E0E">
              <w:t>Nancy</w:t>
            </w:r>
            <w:r w:rsidR="005147F5">
              <w:t xml:space="preserve"> know if they </w:t>
            </w:r>
            <w:r w:rsidR="00722E0E">
              <w:t>could think of</w:t>
            </w:r>
            <w:r w:rsidR="005147F5">
              <w:t xml:space="preserve"> anyone who would be interested in </w:t>
            </w:r>
            <w:r w:rsidR="00722E0E">
              <w:t xml:space="preserve">temporarily </w:t>
            </w:r>
            <w:r w:rsidR="005147F5">
              <w:t xml:space="preserve">filling </w:t>
            </w:r>
            <w:r w:rsidR="00722E0E">
              <w:t>the curriculum position during Susan’s absence</w:t>
            </w:r>
            <w:r w:rsidR="005147F5">
              <w:t xml:space="preserve">. </w:t>
            </w:r>
          </w:p>
          <w:p w:rsidR="00D87F33" w:rsidRDefault="00D87F33" w:rsidP="00661B95"/>
          <w:p w:rsidR="00D87F33" w:rsidRDefault="00BA76F8" w:rsidP="00792F66">
            <w:r>
              <w:t>Issues have been raised regarding International admissions</w:t>
            </w:r>
            <w:r w:rsidR="00471D03">
              <w:t>,</w:t>
            </w:r>
            <w:r>
              <w:t xml:space="preserve"> including </w:t>
            </w:r>
            <w:r w:rsidR="00471D03">
              <w:t>current</w:t>
            </w:r>
            <w:r>
              <w:t xml:space="preserve"> international students.  </w:t>
            </w:r>
            <w:r w:rsidR="00792F66">
              <w:t xml:space="preserve">At this time </w:t>
            </w:r>
            <w:r>
              <w:t xml:space="preserve">no support system </w:t>
            </w:r>
            <w:r w:rsidR="00792F66">
              <w:t xml:space="preserve">exists </w:t>
            </w:r>
            <w:r>
              <w:t xml:space="preserve">at the university </w:t>
            </w:r>
            <w:r w:rsidR="00884856">
              <w:t>for these students</w:t>
            </w:r>
            <w:r>
              <w:t>.  A</w:t>
            </w:r>
            <w:r w:rsidR="00884856">
              <w:t>n EHHS faculty</w:t>
            </w:r>
            <w:r>
              <w:t xml:space="preserve"> group met to discuss this issue.  Their idea is </w:t>
            </w:r>
            <w:r w:rsidR="00884856">
              <w:t xml:space="preserve">to </w:t>
            </w:r>
            <w:r>
              <w:t>develop an infra structure to support these students.  S</w:t>
            </w:r>
            <w:r w:rsidR="00884856">
              <w:t xml:space="preserve">. </w:t>
            </w:r>
            <w:r>
              <w:t>F</w:t>
            </w:r>
            <w:r w:rsidR="00884856">
              <w:t xml:space="preserve">itzgerald </w:t>
            </w:r>
            <w:r w:rsidR="00792F66">
              <w:t xml:space="preserve">shared </w:t>
            </w:r>
            <w:r>
              <w:t>the</w:t>
            </w:r>
            <w:r w:rsidR="00884856">
              <w:t>re was</w:t>
            </w:r>
            <w:r>
              <w:t xml:space="preserve"> discuss</w:t>
            </w:r>
            <w:r w:rsidR="00884856">
              <w:t>ion of</w:t>
            </w:r>
            <w:r>
              <w:t xml:space="preserve"> </w:t>
            </w:r>
            <w:r w:rsidR="00884856">
              <w:t xml:space="preserve">developing a workshop to support </w:t>
            </w:r>
            <w:r>
              <w:t>conditionally admitted students</w:t>
            </w:r>
            <w:r w:rsidR="00884856">
              <w:t>, over and above ELS</w:t>
            </w:r>
            <w:r>
              <w:t xml:space="preserve"> </w:t>
            </w:r>
            <w:r w:rsidR="00884856">
              <w:t xml:space="preserve">in order </w:t>
            </w:r>
            <w:r>
              <w:t>to connect with these students</w:t>
            </w:r>
            <w:r w:rsidR="00884856">
              <w:t>.  This would also provide additional</w:t>
            </w:r>
            <w:r>
              <w:t xml:space="preserve"> financial support</w:t>
            </w:r>
            <w:r w:rsidR="00884856">
              <w:t xml:space="preserve"> for EHHS</w:t>
            </w:r>
            <w:r>
              <w:t xml:space="preserve">.  </w:t>
            </w:r>
            <w:r w:rsidR="00611820">
              <w:t>This workshop would also provide a</w:t>
            </w:r>
            <w:r>
              <w:t xml:space="preserve">cademic orientation to our disciplines.  </w:t>
            </w:r>
            <w:r w:rsidR="00611820">
              <w:t>The group’s thought was</w:t>
            </w:r>
            <w:r>
              <w:t xml:space="preserve"> that this would be on a weekly basis overseen by a faculty member and several doctoral students.  The second course would be</w:t>
            </w:r>
            <w:r w:rsidR="00611820">
              <w:t xml:space="preserve"> a</w:t>
            </w:r>
            <w:r>
              <w:t xml:space="preserve"> writing course.  </w:t>
            </w:r>
            <w:r w:rsidR="00611820">
              <w:t xml:space="preserve">S. Fitzgerald is </w:t>
            </w:r>
            <w:r>
              <w:t>will</w:t>
            </w:r>
            <w:r w:rsidR="00611820">
              <w:t>ing to</w:t>
            </w:r>
            <w:r>
              <w:t xml:space="preserve"> do the first few of these workshops without pay to get things started.  The idea is to give them a year to become engaged in the program instead of strictly being involved with E</w:t>
            </w:r>
            <w:r w:rsidR="00611820">
              <w:t>L</w:t>
            </w:r>
            <w:r>
              <w:t xml:space="preserve">S.  He explained that this would also help with retention.  He shared that he will be requesting funding for GAs to assist with this.  These </w:t>
            </w:r>
            <w:r w:rsidR="00611820">
              <w:t>GAs</w:t>
            </w:r>
            <w:r>
              <w:t xml:space="preserve"> could be consider</w:t>
            </w:r>
            <w:r w:rsidR="00611820">
              <w:t xml:space="preserve">ed our “international advisors” and </w:t>
            </w:r>
            <w:r>
              <w:t xml:space="preserve">provide the </w:t>
            </w:r>
            <w:r w:rsidR="00280D2C">
              <w:t>oversight</w:t>
            </w:r>
            <w:r>
              <w:t xml:space="preserve"> for the students.  Teaching these courses could be considered part of the GAs assignment.  He discussed various ideas for courses that are being discussed.  </w:t>
            </w:r>
            <w:r w:rsidR="00280D2C">
              <w:t>N</w:t>
            </w:r>
            <w:r w:rsidR="00611820">
              <w:t>ancy</w:t>
            </w:r>
            <w:r w:rsidR="00280D2C">
              <w:t xml:space="preserve"> explained </w:t>
            </w:r>
            <w:r w:rsidR="00611820">
              <w:t>many countries do not have access to the TOEFL and GRE test and</w:t>
            </w:r>
            <w:r w:rsidR="00280D2C">
              <w:t xml:space="preserve"> </w:t>
            </w:r>
            <w:r w:rsidR="00611820">
              <w:t>programs are hesitant to accept these students because there are</w:t>
            </w:r>
            <w:r w:rsidR="00280D2C">
              <w:t xml:space="preserve"> no support systems.  If this support system could be developed perhaps these students could then be admitted to the various programs.</w:t>
            </w:r>
            <w:r w:rsidR="00BB437E">
              <w:t xml:space="preserve">  S</w:t>
            </w:r>
            <w:r w:rsidR="00611820">
              <w:t>hawn</w:t>
            </w:r>
            <w:r w:rsidR="00BB437E">
              <w:t xml:space="preserve"> shared </w:t>
            </w:r>
            <w:r w:rsidR="001E7CC3">
              <w:t>this type of support</w:t>
            </w:r>
            <w:r w:rsidR="00BB437E">
              <w:t xml:space="preserve"> could also be beneficial for those students who have passing TOEFL scores or GRE scores but are not doing well with their courses.  </w:t>
            </w:r>
            <w:r w:rsidR="001E7CC3">
              <w:t>T</w:t>
            </w:r>
            <w:r w:rsidR="00BB437E">
              <w:t xml:space="preserve">hese </w:t>
            </w:r>
            <w:r w:rsidR="001E7CC3">
              <w:t xml:space="preserve">students </w:t>
            </w:r>
            <w:r w:rsidR="00BB437E">
              <w:t>would withdraw from the courses they are struggling with and enroll in these support courses in order to have them be successful.  S</w:t>
            </w:r>
            <w:r w:rsidR="001E7CC3">
              <w:t>hawn</w:t>
            </w:r>
            <w:r w:rsidR="00BB437E">
              <w:t xml:space="preserve"> explained </w:t>
            </w:r>
            <w:r w:rsidR="001E7CC3">
              <w:t>there</w:t>
            </w:r>
            <w:r w:rsidR="00BB437E">
              <w:t xml:space="preserve"> will be a questionnaire sent out to faculty to </w:t>
            </w:r>
            <w:r w:rsidR="001E7CC3">
              <w:t>discover</w:t>
            </w:r>
            <w:r w:rsidR="00BB437E">
              <w:t xml:space="preserve"> what they feel is needed to have these students be successful in their programs.</w:t>
            </w:r>
            <w:r w:rsidR="00355F0C">
              <w:t xml:space="preserve">  It was also suggested that this support courses could be offered to even unconditionally admitted students.  </w:t>
            </w:r>
            <w:r w:rsidR="001E7CC3">
              <w:t xml:space="preserve">Shawn </w:t>
            </w:r>
            <w:r w:rsidR="00FD6F07">
              <w:t xml:space="preserve">is hoping for a collaborative effort among </w:t>
            </w:r>
            <w:r w:rsidR="00A3038D">
              <w:t>the entire</w:t>
            </w:r>
            <w:r w:rsidR="00FD6F07">
              <w:t xml:space="preserve"> faculty.</w:t>
            </w:r>
            <w:r w:rsidR="00870BDE">
              <w:t xml:space="preserve">  There was discussion about a dedicated writing center and conversational partners.  </w:t>
            </w:r>
            <w:r w:rsidR="001E7CC3">
              <w:t>The current discussion is to have</w:t>
            </w:r>
            <w:r w:rsidR="00331BD9">
              <w:t xml:space="preserve"> this be a 2 semester experience.  </w:t>
            </w:r>
            <w:r w:rsidR="003C1818">
              <w:t>Some students may need additional time to prove they can be successful.</w:t>
            </w:r>
            <w:r w:rsidR="00171F0A">
              <w:t xml:space="preserve">  The group is hoping to begin Fall 2012 with perhaps a “boot camp” in the summer 5-6 weeks prior to the beginning of the semester.</w:t>
            </w:r>
            <w:r w:rsidR="00CD4DAC">
              <w:t xml:space="preserve">  Nancy</w:t>
            </w:r>
            <w:r w:rsidR="00336EFC">
              <w:t xml:space="preserve"> shared that faculty can prescribe any conditions they feel the students need to be successful in their program</w:t>
            </w:r>
            <w:r w:rsidR="00CD4DAC">
              <w:t>s</w:t>
            </w:r>
            <w:r w:rsidR="00336EFC">
              <w:t>.</w:t>
            </w:r>
          </w:p>
        </w:tc>
        <w:tc>
          <w:tcPr>
            <w:tcW w:w="2178" w:type="dxa"/>
          </w:tcPr>
          <w:p w:rsidR="00887280" w:rsidRDefault="00887280" w:rsidP="00661B95"/>
        </w:tc>
      </w:tr>
    </w:tbl>
    <w:p w:rsidR="00661B95" w:rsidRDefault="00661B95" w:rsidP="00661B95"/>
    <w:p w:rsidR="00661B95" w:rsidRDefault="00661B95" w:rsidP="00661B95">
      <w:r>
        <w:t>The meeting was adjourned at</w:t>
      </w:r>
      <w:r w:rsidR="00792F66">
        <w:t xml:space="preserve"> 11:15 am</w:t>
      </w:r>
    </w:p>
    <w:p w:rsidR="00661B95" w:rsidRDefault="00661B95" w:rsidP="00661B95">
      <w:r>
        <w:t>Next meeting:</w:t>
      </w:r>
      <w:r w:rsidR="00887280">
        <w:t xml:space="preserve">  </w:t>
      </w:r>
      <w:r w:rsidR="00887280" w:rsidRPr="00887280">
        <w:rPr>
          <w:b/>
        </w:rPr>
        <w:t>Friday, Jan. 27</w:t>
      </w:r>
      <w:r w:rsidR="00887280" w:rsidRPr="00887280">
        <w:rPr>
          <w:b/>
          <w:vertAlign w:val="superscript"/>
        </w:rPr>
        <w:t>th</w:t>
      </w:r>
      <w:r w:rsidR="00887280" w:rsidRPr="00887280">
        <w:rPr>
          <w:b/>
        </w:rPr>
        <w:t>, 10:30 – 11:45, WH, Rm 217</w:t>
      </w:r>
    </w:p>
    <w:p w:rsidR="00661B95" w:rsidRDefault="00661B95" w:rsidP="00661B95"/>
    <w:p w:rsidR="00661B95" w:rsidRDefault="00661B95" w:rsidP="00661B95">
      <w:r>
        <w:t>Respectfully submitted</w:t>
      </w:r>
    </w:p>
    <w:p w:rsidR="00661B95" w:rsidRPr="00661B95" w:rsidRDefault="00661B95" w:rsidP="00661B95">
      <w:r>
        <w:t>Luci Wymer, Recorder</w:t>
      </w:r>
    </w:p>
    <w:sectPr w:rsidR="00661B95" w:rsidRPr="00661B95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C5E"/>
    <w:multiLevelType w:val="hybridMultilevel"/>
    <w:tmpl w:val="D1E8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B95"/>
    <w:rsid w:val="00000385"/>
    <w:rsid w:val="000200AF"/>
    <w:rsid w:val="00026E4B"/>
    <w:rsid w:val="000617D4"/>
    <w:rsid w:val="00075655"/>
    <w:rsid w:val="000825CC"/>
    <w:rsid w:val="00171F0A"/>
    <w:rsid w:val="00187A93"/>
    <w:rsid w:val="001C55A0"/>
    <w:rsid w:val="001D559D"/>
    <w:rsid w:val="001E7CC3"/>
    <w:rsid w:val="00211EC6"/>
    <w:rsid w:val="0022144C"/>
    <w:rsid w:val="002451BA"/>
    <w:rsid w:val="00280D2C"/>
    <w:rsid w:val="002F4BA5"/>
    <w:rsid w:val="003078BA"/>
    <w:rsid w:val="00331BD9"/>
    <w:rsid w:val="00336EFC"/>
    <w:rsid w:val="00355F0C"/>
    <w:rsid w:val="003C1818"/>
    <w:rsid w:val="004035E6"/>
    <w:rsid w:val="00471D03"/>
    <w:rsid w:val="00476676"/>
    <w:rsid w:val="004B27F7"/>
    <w:rsid w:val="004E71F8"/>
    <w:rsid w:val="005147F5"/>
    <w:rsid w:val="00545C65"/>
    <w:rsid w:val="005629C5"/>
    <w:rsid w:val="0059197D"/>
    <w:rsid w:val="005961CC"/>
    <w:rsid w:val="005D1552"/>
    <w:rsid w:val="00611820"/>
    <w:rsid w:val="00661B95"/>
    <w:rsid w:val="006655C2"/>
    <w:rsid w:val="00694672"/>
    <w:rsid w:val="006A344B"/>
    <w:rsid w:val="006C2DB3"/>
    <w:rsid w:val="006D296A"/>
    <w:rsid w:val="006D5FA4"/>
    <w:rsid w:val="0070494B"/>
    <w:rsid w:val="007057C5"/>
    <w:rsid w:val="00722E0E"/>
    <w:rsid w:val="00727E43"/>
    <w:rsid w:val="007547A8"/>
    <w:rsid w:val="0075746E"/>
    <w:rsid w:val="00762A58"/>
    <w:rsid w:val="00792F66"/>
    <w:rsid w:val="00815EF8"/>
    <w:rsid w:val="00870BDE"/>
    <w:rsid w:val="0088232A"/>
    <w:rsid w:val="00884856"/>
    <w:rsid w:val="00887280"/>
    <w:rsid w:val="008941CE"/>
    <w:rsid w:val="008B2975"/>
    <w:rsid w:val="00946DD8"/>
    <w:rsid w:val="00A24A6F"/>
    <w:rsid w:val="00A3038D"/>
    <w:rsid w:val="00B223A2"/>
    <w:rsid w:val="00B22468"/>
    <w:rsid w:val="00B357A7"/>
    <w:rsid w:val="00BA76F8"/>
    <w:rsid w:val="00BB437E"/>
    <w:rsid w:val="00BF4D22"/>
    <w:rsid w:val="00C27CEA"/>
    <w:rsid w:val="00C66034"/>
    <w:rsid w:val="00C723DF"/>
    <w:rsid w:val="00C77EDB"/>
    <w:rsid w:val="00C84FAC"/>
    <w:rsid w:val="00CA42AE"/>
    <w:rsid w:val="00CB2728"/>
    <w:rsid w:val="00CC6F83"/>
    <w:rsid w:val="00CD4DAC"/>
    <w:rsid w:val="00CF0FAC"/>
    <w:rsid w:val="00D3478E"/>
    <w:rsid w:val="00D53402"/>
    <w:rsid w:val="00D86A2D"/>
    <w:rsid w:val="00D87F33"/>
    <w:rsid w:val="00DB78F9"/>
    <w:rsid w:val="00EA0C31"/>
    <w:rsid w:val="00F6170A"/>
    <w:rsid w:val="00F82A39"/>
    <w:rsid w:val="00F95380"/>
    <w:rsid w:val="00FD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8D3A-FDF0-4F7B-A014-82E3805C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1356</Words>
  <Characters>7733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2011-12-15T14:11:00Z</dcterms:created>
  <dcterms:modified xsi:type="dcterms:W3CDTF">2011-12-15T14:11:00Z</dcterms:modified>
</cp:coreProperties>
</file>