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bookmarkStart w:id="0" w:name="_GoBack"/>
      <w:bookmarkEnd w:id="0"/>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24308" w:rsidRDefault="00661B95" w:rsidP="00661B95">
      <w:pPr>
        <w:tabs>
          <w:tab w:val="center" w:pos="3960"/>
        </w:tabs>
        <w:jc w:val="center"/>
        <w:rPr>
          <w:b/>
          <w:bCs/>
          <w:sz w:val="20"/>
          <w:szCs w:val="20"/>
        </w:rPr>
      </w:pPr>
      <w:r w:rsidRPr="00024308">
        <w:rPr>
          <w:b/>
          <w:bCs/>
          <w:sz w:val="20"/>
          <w:szCs w:val="20"/>
        </w:rPr>
        <w:t>COLLEGE AND GRADUATE SCHOOL OF EDUCATION, HEALTH, AND HUMAN SERVICES</w:t>
      </w:r>
    </w:p>
    <w:p w:rsidR="00661B95" w:rsidRPr="00024308" w:rsidRDefault="00661B95" w:rsidP="00661B95">
      <w:pPr>
        <w:jc w:val="center"/>
        <w:rPr>
          <w:sz w:val="20"/>
          <w:szCs w:val="20"/>
        </w:rPr>
      </w:pPr>
      <w:r w:rsidRPr="00024308">
        <w:rPr>
          <w:sz w:val="20"/>
          <w:szCs w:val="20"/>
        </w:rPr>
        <w:t>Office of the Associate Dean for Administrative Affairs and Graduate Education</w:t>
      </w:r>
    </w:p>
    <w:p w:rsidR="00661B95" w:rsidRPr="00193986" w:rsidRDefault="00444911" w:rsidP="00661B95">
      <w:pPr>
        <w:jc w:val="center"/>
        <w:rPr>
          <w:b/>
          <w:sz w:val="20"/>
          <w:szCs w:val="20"/>
        </w:rPr>
      </w:pPr>
      <w:r w:rsidRPr="00193986">
        <w:rPr>
          <w:b/>
          <w:sz w:val="20"/>
          <w:szCs w:val="20"/>
        </w:rPr>
        <w:t>GRADUATE PROGRAM COORDINATORS MEETING</w:t>
      </w:r>
    </w:p>
    <w:p w:rsidR="00661B95" w:rsidRPr="00193986" w:rsidRDefault="00444911" w:rsidP="00661B95">
      <w:pPr>
        <w:jc w:val="center"/>
        <w:rPr>
          <w:b/>
          <w:sz w:val="20"/>
          <w:szCs w:val="20"/>
        </w:rPr>
      </w:pPr>
      <w:r w:rsidRPr="00193986">
        <w:rPr>
          <w:b/>
          <w:sz w:val="20"/>
          <w:szCs w:val="20"/>
        </w:rPr>
        <w:t>January 25, 2013</w:t>
      </w:r>
    </w:p>
    <w:p w:rsidR="00661B95" w:rsidRPr="00024308" w:rsidRDefault="00661B95" w:rsidP="00661B95">
      <w:pPr>
        <w:jc w:val="center"/>
        <w:rPr>
          <w:sz w:val="20"/>
          <w:szCs w:val="20"/>
        </w:rPr>
      </w:pPr>
    </w:p>
    <w:p w:rsidR="00193986" w:rsidRPr="00BB3F7E" w:rsidRDefault="00193986" w:rsidP="00193986">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20"/>
        <w:gridCol w:w="2610"/>
        <w:gridCol w:w="2520"/>
      </w:tblGrid>
      <w:tr w:rsidR="00193986" w:rsidRPr="00EC1F29" w:rsidTr="000E60B9">
        <w:tc>
          <w:tcPr>
            <w:tcW w:w="2628" w:type="dxa"/>
          </w:tcPr>
          <w:p w:rsidR="00193986" w:rsidRPr="00EC1F29" w:rsidRDefault="00193986" w:rsidP="000E60B9">
            <w:pPr>
              <w:jc w:val="center"/>
              <w:rPr>
                <w:b/>
                <w:sz w:val="18"/>
                <w:szCs w:val="18"/>
              </w:rPr>
            </w:pPr>
            <w:r w:rsidRPr="00EC1F29">
              <w:rPr>
                <w:b/>
                <w:sz w:val="18"/>
                <w:szCs w:val="18"/>
              </w:rPr>
              <w:t>FLA</w:t>
            </w:r>
          </w:p>
        </w:tc>
        <w:tc>
          <w:tcPr>
            <w:tcW w:w="2520" w:type="dxa"/>
          </w:tcPr>
          <w:p w:rsidR="00193986" w:rsidRPr="00EC1F29" w:rsidRDefault="00193986" w:rsidP="000E60B9">
            <w:pPr>
              <w:jc w:val="center"/>
              <w:rPr>
                <w:b/>
                <w:sz w:val="18"/>
                <w:szCs w:val="18"/>
              </w:rPr>
            </w:pPr>
            <w:r w:rsidRPr="00EC1F29">
              <w:rPr>
                <w:b/>
                <w:sz w:val="18"/>
                <w:szCs w:val="18"/>
              </w:rPr>
              <w:t>HS</w:t>
            </w:r>
          </w:p>
        </w:tc>
        <w:tc>
          <w:tcPr>
            <w:tcW w:w="2610" w:type="dxa"/>
          </w:tcPr>
          <w:p w:rsidR="00193986" w:rsidRPr="00EC1F29" w:rsidRDefault="00193986" w:rsidP="000E60B9">
            <w:pPr>
              <w:jc w:val="center"/>
              <w:rPr>
                <w:b/>
                <w:sz w:val="18"/>
                <w:szCs w:val="18"/>
              </w:rPr>
            </w:pPr>
            <w:r w:rsidRPr="00EC1F29">
              <w:rPr>
                <w:b/>
                <w:sz w:val="18"/>
                <w:szCs w:val="18"/>
              </w:rPr>
              <w:t>LDES</w:t>
            </w:r>
          </w:p>
        </w:tc>
        <w:tc>
          <w:tcPr>
            <w:tcW w:w="2520" w:type="dxa"/>
          </w:tcPr>
          <w:p w:rsidR="00193986" w:rsidRPr="00EC1F29" w:rsidRDefault="00193986" w:rsidP="000E60B9">
            <w:pPr>
              <w:jc w:val="center"/>
              <w:rPr>
                <w:b/>
                <w:sz w:val="18"/>
                <w:szCs w:val="18"/>
              </w:rPr>
            </w:pPr>
            <w:r w:rsidRPr="00EC1F29">
              <w:rPr>
                <w:b/>
                <w:sz w:val="18"/>
                <w:szCs w:val="18"/>
              </w:rPr>
              <w:t>TLC</w:t>
            </w:r>
          </w:p>
        </w:tc>
      </w:tr>
      <w:tr w:rsidR="00CA0820" w:rsidRPr="00EC1F29" w:rsidTr="000E60B9">
        <w:trPr>
          <w:trHeight w:val="233"/>
        </w:trPr>
        <w:tc>
          <w:tcPr>
            <w:tcW w:w="2628" w:type="dxa"/>
            <w:shd w:val="clear" w:color="auto" w:fill="auto"/>
          </w:tcPr>
          <w:p w:rsidR="00CA0820" w:rsidRPr="00EC1F29" w:rsidRDefault="00CA0820" w:rsidP="000E60B9">
            <w:pPr>
              <w:rPr>
                <w:sz w:val="18"/>
                <w:szCs w:val="18"/>
              </w:rPr>
            </w:pPr>
            <w:r w:rsidRPr="00EC1F29">
              <w:rPr>
                <w:sz w:val="18"/>
                <w:szCs w:val="18"/>
              </w:rPr>
              <w:t>Kretovics, Mark</w:t>
            </w:r>
          </w:p>
        </w:tc>
        <w:tc>
          <w:tcPr>
            <w:tcW w:w="2520" w:type="dxa"/>
            <w:shd w:val="clear" w:color="auto" w:fill="auto"/>
          </w:tcPr>
          <w:p w:rsidR="00CA0820" w:rsidRPr="00EC1F29" w:rsidRDefault="00CA0820" w:rsidP="000E60B9">
            <w:pPr>
              <w:rPr>
                <w:sz w:val="18"/>
                <w:szCs w:val="18"/>
              </w:rPr>
            </w:pPr>
            <w:r>
              <w:rPr>
                <w:sz w:val="18"/>
                <w:szCs w:val="18"/>
              </w:rPr>
              <w:t>Ding, Kele</w:t>
            </w:r>
          </w:p>
        </w:tc>
        <w:tc>
          <w:tcPr>
            <w:tcW w:w="2610" w:type="dxa"/>
            <w:shd w:val="clear" w:color="auto" w:fill="auto"/>
          </w:tcPr>
          <w:p w:rsidR="00CA0820" w:rsidRPr="00EC1F29" w:rsidRDefault="00CA0820" w:rsidP="000E60B9">
            <w:pPr>
              <w:rPr>
                <w:sz w:val="18"/>
                <w:szCs w:val="18"/>
              </w:rPr>
            </w:pPr>
            <w:r w:rsidRPr="00EC1F29">
              <w:rPr>
                <w:sz w:val="18"/>
                <w:szCs w:val="18"/>
              </w:rPr>
              <w:t>McGlothlin, Jason</w:t>
            </w:r>
          </w:p>
        </w:tc>
        <w:tc>
          <w:tcPr>
            <w:tcW w:w="2520" w:type="dxa"/>
            <w:shd w:val="clear" w:color="auto" w:fill="auto"/>
          </w:tcPr>
          <w:p w:rsidR="00CA0820" w:rsidRPr="00EC1F29" w:rsidRDefault="00CA0820" w:rsidP="000E60B9">
            <w:pPr>
              <w:rPr>
                <w:sz w:val="18"/>
                <w:szCs w:val="18"/>
              </w:rPr>
            </w:pPr>
            <w:r w:rsidRPr="00EC1F29">
              <w:rPr>
                <w:sz w:val="18"/>
                <w:szCs w:val="18"/>
              </w:rPr>
              <w:t>Hutchison, Janice</w:t>
            </w:r>
          </w:p>
        </w:tc>
      </w:tr>
      <w:tr w:rsidR="00CA0820" w:rsidRPr="00EC1F29" w:rsidTr="000E60B9">
        <w:trPr>
          <w:trHeight w:val="233"/>
        </w:trPr>
        <w:tc>
          <w:tcPr>
            <w:tcW w:w="2628" w:type="dxa"/>
            <w:shd w:val="clear" w:color="auto" w:fill="auto"/>
          </w:tcPr>
          <w:p w:rsidR="00CA0820" w:rsidRPr="00EC1F29" w:rsidRDefault="00CA0820" w:rsidP="000E60B9">
            <w:pPr>
              <w:rPr>
                <w:sz w:val="18"/>
                <w:szCs w:val="18"/>
              </w:rPr>
            </w:pPr>
            <w:r>
              <w:rPr>
                <w:sz w:val="18"/>
                <w:szCs w:val="18"/>
              </w:rPr>
              <w:t>Lyberger, Mark</w:t>
            </w:r>
          </w:p>
        </w:tc>
        <w:tc>
          <w:tcPr>
            <w:tcW w:w="2520" w:type="dxa"/>
            <w:shd w:val="clear" w:color="auto" w:fill="auto"/>
          </w:tcPr>
          <w:p w:rsidR="00CA0820" w:rsidRPr="00EC1F29" w:rsidRDefault="00CA0820" w:rsidP="000E60B9">
            <w:pPr>
              <w:rPr>
                <w:sz w:val="18"/>
                <w:szCs w:val="18"/>
              </w:rPr>
            </w:pPr>
            <w:r w:rsidRPr="00EC1F29">
              <w:rPr>
                <w:sz w:val="18"/>
                <w:szCs w:val="18"/>
              </w:rPr>
              <w:t>Glickman, Ellen</w:t>
            </w:r>
          </w:p>
        </w:tc>
        <w:tc>
          <w:tcPr>
            <w:tcW w:w="2610" w:type="dxa"/>
            <w:shd w:val="clear" w:color="auto" w:fill="auto"/>
          </w:tcPr>
          <w:p w:rsidR="00CA0820" w:rsidRPr="00EC1F29" w:rsidRDefault="00CA0820" w:rsidP="000E60B9">
            <w:pPr>
              <w:rPr>
                <w:sz w:val="18"/>
                <w:szCs w:val="18"/>
              </w:rPr>
            </w:pPr>
            <w:r w:rsidRPr="00EC1F29">
              <w:rPr>
                <w:sz w:val="18"/>
                <w:szCs w:val="18"/>
              </w:rPr>
              <w:t>Richardson, Rhonda</w:t>
            </w:r>
          </w:p>
        </w:tc>
        <w:tc>
          <w:tcPr>
            <w:tcW w:w="2520" w:type="dxa"/>
            <w:shd w:val="clear" w:color="auto" w:fill="auto"/>
          </w:tcPr>
          <w:p w:rsidR="00CA0820" w:rsidRPr="00EC1F29" w:rsidRDefault="00CA0820" w:rsidP="000E60B9">
            <w:pPr>
              <w:rPr>
                <w:sz w:val="18"/>
                <w:szCs w:val="18"/>
              </w:rPr>
            </w:pPr>
            <w:r w:rsidRPr="00EC1F29">
              <w:rPr>
                <w:sz w:val="18"/>
                <w:szCs w:val="18"/>
              </w:rPr>
              <w:t>Kroeger, Janice</w:t>
            </w:r>
          </w:p>
        </w:tc>
      </w:tr>
      <w:tr w:rsidR="00CA0820" w:rsidRPr="00EC1F29" w:rsidTr="000E60B9">
        <w:trPr>
          <w:trHeight w:val="233"/>
        </w:trPr>
        <w:tc>
          <w:tcPr>
            <w:tcW w:w="2628" w:type="dxa"/>
            <w:shd w:val="clear" w:color="auto" w:fill="auto"/>
          </w:tcPr>
          <w:p w:rsidR="00CA0820" w:rsidRPr="00EC1F29" w:rsidRDefault="00CA0820" w:rsidP="000E60B9">
            <w:pPr>
              <w:rPr>
                <w:sz w:val="18"/>
                <w:szCs w:val="18"/>
              </w:rPr>
            </w:pPr>
            <w:r w:rsidRPr="00EC1F29">
              <w:rPr>
                <w:sz w:val="18"/>
                <w:szCs w:val="18"/>
              </w:rPr>
              <w:t>McClelland, Averil</w:t>
            </w:r>
          </w:p>
        </w:tc>
        <w:tc>
          <w:tcPr>
            <w:tcW w:w="2520" w:type="dxa"/>
            <w:shd w:val="clear" w:color="auto" w:fill="auto"/>
          </w:tcPr>
          <w:p w:rsidR="00CA0820" w:rsidRPr="009B52D3" w:rsidRDefault="00CA0820" w:rsidP="000E60B9">
            <w:pPr>
              <w:rPr>
                <w:sz w:val="14"/>
                <w:szCs w:val="14"/>
              </w:rPr>
            </w:pPr>
            <w:r>
              <w:rPr>
                <w:sz w:val="18"/>
                <w:szCs w:val="18"/>
              </w:rPr>
              <w:t>Gordon, Karen</w:t>
            </w:r>
          </w:p>
        </w:tc>
        <w:tc>
          <w:tcPr>
            <w:tcW w:w="2610" w:type="dxa"/>
            <w:shd w:val="clear" w:color="auto" w:fill="auto"/>
          </w:tcPr>
          <w:p w:rsidR="00CA0820" w:rsidRPr="00EC1F29" w:rsidRDefault="00CA0820" w:rsidP="000E60B9">
            <w:pPr>
              <w:rPr>
                <w:sz w:val="18"/>
                <w:szCs w:val="18"/>
              </w:rPr>
            </w:pPr>
            <w:r>
              <w:rPr>
                <w:sz w:val="18"/>
                <w:szCs w:val="18"/>
              </w:rPr>
              <w:t>Sansosti, Frank</w:t>
            </w:r>
          </w:p>
        </w:tc>
        <w:tc>
          <w:tcPr>
            <w:tcW w:w="2520" w:type="dxa"/>
            <w:shd w:val="clear" w:color="auto" w:fill="auto"/>
          </w:tcPr>
          <w:p w:rsidR="00CA0820" w:rsidRPr="00EC1F29" w:rsidRDefault="00CA0820" w:rsidP="000E60B9">
            <w:pPr>
              <w:rPr>
                <w:sz w:val="18"/>
                <w:szCs w:val="18"/>
              </w:rPr>
            </w:pPr>
            <w:r>
              <w:rPr>
                <w:sz w:val="18"/>
                <w:szCs w:val="18"/>
              </w:rPr>
              <w:t>Mitchell, Stephen</w:t>
            </w:r>
          </w:p>
        </w:tc>
      </w:tr>
      <w:tr w:rsidR="00CA0820" w:rsidRPr="00EC1F29" w:rsidTr="000E60B9">
        <w:trPr>
          <w:trHeight w:val="233"/>
        </w:trPr>
        <w:tc>
          <w:tcPr>
            <w:tcW w:w="2628" w:type="dxa"/>
            <w:shd w:val="clear" w:color="auto" w:fill="auto"/>
          </w:tcPr>
          <w:p w:rsidR="00CA0820" w:rsidRPr="00EC1F29" w:rsidRDefault="00CA0820" w:rsidP="000E60B9">
            <w:pPr>
              <w:rPr>
                <w:sz w:val="18"/>
                <w:szCs w:val="18"/>
              </w:rPr>
            </w:pPr>
            <w:r w:rsidRPr="00EC1F29">
              <w:rPr>
                <w:sz w:val="18"/>
                <w:szCs w:val="18"/>
              </w:rPr>
              <w:t>Niesz, Tricia</w:t>
            </w:r>
          </w:p>
        </w:tc>
        <w:tc>
          <w:tcPr>
            <w:tcW w:w="2520" w:type="dxa"/>
            <w:shd w:val="clear" w:color="auto" w:fill="auto"/>
          </w:tcPr>
          <w:p w:rsidR="00CA0820" w:rsidRPr="00EC1F29" w:rsidRDefault="00CA0820" w:rsidP="000E60B9">
            <w:pPr>
              <w:rPr>
                <w:sz w:val="18"/>
                <w:szCs w:val="18"/>
              </w:rPr>
            </w:pPr>
          </w:p>
        </w:tc>
        <w:tc>
          <w:tcPr>
            <w:tcW w:w="2610" w:type="dxa"/>
            <w:shd w:val="clear" w:color="auto" w:fill="auto"/>
          </w:tcPr>
          <w:p w:rsidR="00CA0820" w:rsidRDefault="00CA0820" w:rsidP="000E60B9">
            <w:pPr>
              <w:rPr>
                <w:sz w:val="18"/>
                <w:szCs w:val="18"/>
              </w:rPr>
            </w:pPr>
            <w:r w:rsidRPr="00EC1F29">
              <w:rPr>
                <w:sz w:val="18"/>
                <w:szCs w:val="18"/>
              </w:rPr>
              <w:t>Tiene, Drew</w:t>
            </w:r>
          </w:p>
        </w:tc>
        <w:tc>
          <w:tcPr>
            <w:tcW w:w="2520" w:type="dxa"/>
            <w:shd w:val="clear" w:color="auto" w:fill="auto"/>
          </w:tcPr>
          <w:p w:rsidR="00CA0820" w:rsidRPr="00EC1F29" w:rsidRDefault="00CA0820" w:rsidP="000E60B9">
            <w:pPr>
              <w:rPr>
                <w:sz w:val="18"/>
                <w:szCs w:val="18"/>
              </w:rPr>
            </w:pPr>
            <w:r w:rsidRPr="00EC1F29">
              <w:rPr>
                <w:sz w:val="18"/>
                <w:szCs w:val="18"/>
              </w:rPr>
              <w:t>Morgan, Denise</w:t>
            </w:r>
          </w:p>
        </w:tc>
      </w:tr>
      <w:tr w:rsidR="00CA0820" w:rsidRPr="00EC1F29" w:rsidTr="000E60B9">
        <w:tc>
          <w:tcPr>
            <w:tcW w:w="2628" w:type="dxa"/>
            <w:shd w:val="clear" w:color="auto" w:fill="auto"/>
          </w:tcPr>
          <w:p w:rsidR="00CA0820" w:rsidRPr="00EC1F29" w:rsidRDefault="00CA0820" w:rsidP="000E60B9">
            <w:pPr>
              <w:rPr>
                <w:sz w:val="18"/>
                <w:szCs w:val="18"/>
              </w:rPr>
            </w:pPr>
            <w:r w:rsidRPr="00EC1F29">
              <w:rPr>
                <w:sz w:val="18"/>
                <w:szCs w:val="18"/>
              </w:rPr>
              <w:t>Scheule, Barb</w:t>
            </w:r>
          </w:p>
        </w:tc>
        <w:tc>
          <w:tcPr>
            <w:tcW w:w="2520" w:type="dxa"/>
            <w:shd w:val="clear" w:color="auto" w:fill="auto"/>
          </w:tcPr>
          <w:p w:rsidR="00CA0820" w:rsidRPr="009B52D3" w:rsidRDefault="00CA0820" w:rsidP="000E60B9">
            <w:pPr>
              <w:rPr>
                <w:sz w:val="14"/>
                <w:szCs w:val="14"/>
              </w:rPr>
            </w:pPr>
          </w:p>
        </w:tc>
        <w:tc>
          <w:tcPr>
            <w:tcW w:w="2610" w:type="dxa"/>
            <w:shd w:val="clear" w:color="auto" w:fill="auto"/>
          </w:tcPr>
          <w:p w:rsidR="00CA0820" w:rsidRPr="00EC1F29" w:rsidRDefault="00CA0820" w:rsidP="000E60B9">
            <w:pPr>
              <w:rPr>
                <w:sz w:val="18"/>
                <w:szCs w:val="18"/>
              </w:rPr>
            </w:pPr>
            <w:r>
              <w:rPr>
                <w:sz w:val="18"/>
                <w:szCs w:val="18"/>
              </w:rPr>
              <w:t>Wisdom, Sonya</w:t>
            </w:r>
          </w:p>
        </w:tc>
        <w:tc>
          <w:tcPr>
            <w:tcW w:w="2520" w:type="dxa"/>
            <w:shd w:val="clear" w:color="auto" w:fill="auto"/>
          </w:tcPr>
          <w:p w:rsidR="00CA0820" w:rsidRPr="00EC1F29" w:rsidRDefault="00CA0820" w:rsidP="000E60B9">
            <w:pPr>
              <w:rPr>
                <w:sz w:val="18"/>
                <w:szCs w:val="18"/>
              </w:rPr>
            </w:pPr>
          </w:p>
        </w:tc>
      </w:tr>
    </w:tbl>
    <w:p w:rsidR="00193986" w:rsidRPr="00BB3F7E" w:rsidRDefault="00193986" w:rsidP="00193986">
      <w:pPr>
        <w:rPr>
          <w:sz w:val="18"/>
          <w:szCs w:val="18"/>
        </w:rPr>
      </w:pPr>
      <w:r>
        <w:rPr>
          <w:sz w:val="18"/>
          <w:szCs w:val="18"/>
        </w:rPr>
        <w:t>Cathy Hackney, Admin Affairs;</w:t>
      </w:r>
      <w:r w:rsidR="00CA0820">
        <w:rPr>
          <w:sz w:val="18"/>
          <w:szCs w:val="18"/>
        </w:rPr>
        <w:t xml:space="preserve"> Nancy Miller, OGSS;</w:t>
      </w:r>
      <w:r>
        <w:rPr>
          <w:sz w:val="18"/>
          <w:szCs w:val="18"/>
        </w:rPr>
        <w:t xml:space="preserve"> Luci Wymer, Recorder</w:t>
      </w:r>
    </w:p>
    <w:p w:rsidR="00193986" w:rsidRPr="00BB3F7E" w:rsidRDefault="00193986" w:rsidP="00193986">
      <w:pPr>
        <w:rPr>
          <w:sz w:val="18"/>
          <w:szCs w:val="18"/>
        </w:rPr>
      </w:pPr>
    </w:p>
    <w:p w:rsidR="00193986" w:rsidRPr="00BB3F7E" w:rsidRDefault="00193986" w:rsidP="00193986">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gridCol w:w="2574"/>
      </w:tblGrid>
      <w:tr w:rsidR="00193986" w:rsidRPr="00EC1F29" w:rsidTr="000E60B9">
        <w:tc>
          <w:tcPr>
            <w:tcW w:w="2574" w:type="dxa"/>
          </w:tcPr>
          <w:p w:rsidR="00193986" w:rsidRPr="00EC1F29" w:rsidRDefault="00193986" w:rsidP="000E60B9">
            <w:pPr>
              <w:jc w:val="center"/>
              <w:rPr>
                <w:b/>
                <w:sz w:val="18"/>
                <w:szCs w:val="18"/>
              </w:rPr>
            </w:pPr>
            <w:r w:rsidRPr="00EC1F29">
              <w:rPr>
                <w:b/>
                <w:sz w:val="18"/>
                <w:szCs w:val="18"/>
              </w:rPr>
              <w:t>FLA</w:t>
            </w:r>
          </w:p>
        </w:tc>
        <w:tc>
          <w:tcPr>
            <w:tcW w:w="2574" w:type="dxa"/>
          </w:tcPr>
          <w:p w:rsidR="00193986" w:rsidRPr="00EC1F29" w:rsidRDefault="00193986" w:rsidP="000E60B9">
            <w:pPr>
              <w:jc w:val="center"/>
              <w:rPr>
                <w:b/>
                <w:sz w:val="18"/>
                <w:szCs w:val="18"/>
              </w:rPr>
            </w:pPr>
            <w:r w:rsidRPr="00EC1F29">
              <w:rPr>
                <w:b/>
                <w:sz w:val="18"/>
                <w:szCs w:val="18"/>
              </w:rPr>
              <w:t>HS</w:t>
            </w:r>
          </w:p>
        </w:tc>
        <w:tc>
          <w:tcPr>
            <w:tcW w:w="2574" w:type="dxa"/>
          </w:tcPr>
          <w:p w:rsidR="00193986" w:rsidRPr="00EC1F29" w:rsidRDefault="00193986" w:rsidP="000E60B9">
            <w:pPr>
              <w:jc w:val="center"/>
              <w:rPr>
                <w:b/>
                <w:sz w:val="18"/>
                <w:szCs w:val="18"/>
              </w:rPr>
            </w:pPr>
            <w:r w:rsidRPr="00EC1F29">
              <w:rPr>
                <w:b/>
                <w:sz w:val="18"/>
                <w:szCs w:val="18"/>
              </w:rPr>
              <w:t>LDES</w:t>
            </w:r>
          </w:p>
        </w:tc>
        <w:tc>
          <w:tcPr>
            <w:tcW w:w="2574" w:type="dxa"/>
          </w:tcPr>
          <w:p w:rsidR="00193986" w:rsidRPr="00EC1F29" w:rsidRDefault="00193986" w:rsidP="000E60B9">
            <w:pPr>
              <w:jc w:val="center"/>
              <w:rPr>
                <w:b/>
                <w:sz w:val="18"/>
                <w:szCs w:val="18"/>
              </w:rPr>
            </w:pPr>
            <w:r w:rsidRPr="00EC1F29">
              <w:rPr>
                <w:b/>
                <w:sz w:val="18"/>
                <w:szCs w:val="18"/>
              </w:rPr>
              <w:t>TLC</w:t>
            </w:r>
          </w:p>
        </w:tc>
      </w:tr>
      <w:tr w:rsidR="00193986" w:rsidRPr="00EC1F29" w:rsidTr="000E60B9">
        <w:trPr>
          <w:trHeight w:val="233"/>
        </w:trPr>
        <w:tc>
          <w:tcPr>
            <w:tcW w:w="2574" w:type="dxa"/>
          </w:tcPr>
          <w:p w:rsidR="00193986" w:rsidRPr="00EC1F29" w:rsidRDefault="00193986" w:rsidP="000E60B9">
            <w:pPr>
              <w:rPr>
                <w:sz w:val="18"/>
                <w:szCs w:val="18"/>
              </w:rPr>
            </w:pPr>
          </w:p>
        </w:tc>
        <w:tc>
          <w:tcPr>
            <w:tcW w:w="2574" w:type="dxa"/>
          </w:tcPr>
          <w:p w:rsidR="00193986" w:rsidRPr="00EC1F29" w:rsidRDefault="00193986" w:rsidP="000E60B9">
            <w:pPr>
              <w:rPr>
                <w:sz w:val="18"/>
                <w:szCs w:val="18"/>
              </w:rPr>
            </w:pPr>
            <w:r w:rsidRPr="00EC1F29">
              <w:rPr>
                <w:sz w:val="18"/>
                <w:szCs w:val="18"/>
              </w:rPr>
              <w:t>Burzminski, Nancy</w:t>
            </w:r>
          </w:p>
        </w:tc>
        <w:tc>
          <w:tcPr>
            <w:tcW w:w="2574" w:type="dxa"/>
          </w:tcPr>
          <w:p w:rsidR="00193986" w:rsidRPr="00EC1F29" w:rsidRDefault="00193986" w:rsidP="000E60B9">
            <w:pPr>
              <w:rPr>
                <w:sz w:val="18"/>
                <w:szCs w:val="18"/>
              </w:rPr>
            </w:pPr>
            <w:r>
              <w:rPr>
                <w:sz w:val="18"/>
                <w:szCs w:val="18"/>
              </w:rPr>
              <w:t>Barton, Lyle</w:t>
            </w:r>
          </w:p>
        </w:tc>
        <w:tc>
          <w:tcPr>
            <w:tcW w:w="2574" w:type="dxa"/>
          </w:tcPr>
          <w:p w:rsidR="00193986" w:rsidRPr="00EC1F29" w:rsidRDefault="00193986" w:rsidP="000E60B9">
            <w:pPr>
              <w:rPr>
                <w:sz w:val="18"/>
                <w:szCs w:val="18"/>
              </w:rPr>
            </w:pPr>
            <w:r w:rsidRPr="00EC1F29">
              <w:rPr>
                <w:sz w:val="18"/>
                <w:szCs w:val="18"/>
              </w:rPr>
              <w:t>Brooks, Bette</w:t>
            </w:r>
          </w:p>
        </w:tc>
      </w:tr>
      <w:tr w:rsidR="00CA0820" w:rsidRPr="00EC1F29" w:rsidTr="000E60B9">
        <w:tc>
          <w:tcPr>
            <w:tcW w:w="2574" w:type="dxa"/>
          </w:tcPr>
          <w:p w:rsidR="00CA0820" w:rsidRPr="00EC1F29" w:rsidRDefault="00CA0820" w:rsidP="000E60B9">
            <w:pPr>
              <w:rPr>
                <w:sz w:val="18"/>
                <w:szCs w:val="18"/>
              </w:rPr>
            </w:pPr>
          </w:p>
        </w:tc>
        <w:tc>
          <w:tcPr>
            <w:tcW w:w="2574" w:type="dxa"/>
          </w:tcPr>
          <w:p w:rsidR="00CA0820" w:rsidRPr="00EC1F29" w:rsidRDefault="00CA0820" w:rsidP="000E60B9">
            <w:pPr>
              <w:rPr>
                <w:sz w:val="18"/>
                <w:szCs w:val="18"/>
              </w:rPr>
            </w:pPr>
            <w:r>
              <w:rPr>
                <w:sz w:val="18"/>
                <w:szCs w:val="18"/>
              </w:rPr>
              <w:t>Peer, Kim</w:t>
            </w:r>
          </w:p>
        </w:tc>
        <w:tc>
          <w:tcPr>
            <w:tcW w:w="2574" w:type="dxa"/>
          </w:tcPr>
          <w:p w:rsidR="00CA0820" w:rsidRDefault="00CA0820" w:rsidP="000E60B9">
            <w:pPr>
              <w:rPr>
                <w:sz w:val="18"/>
                <w:szCs w:val="18"/>
              </w:rPr>
            </w:pPr>
            <w:r>
              <w:rPr>
                <w:sz w:val="18"/>
                <w:szCs w:val="18"/>
              </w:rPr>
              <w:t>Cox, Jane</w:t>
            </w:r>
          </w:p>
        </w:tc>
        <w:tc>
          <w:tcPr>
            <w:tcW w:w="2574" w:type="dxa"/>
          </w:tcPr>
          <w:p w:rsidR="00CA0820" w:rsidRPr="00EC1F29" w:rsidRDefault="00CA0820" w:rsidP="000E60B9">
            <w:pPr>
              <w:rPr>
                <w:sz w:val="18"/>
                <w:szCs w:val="18"/>
              </w:rPr>
            </w:pPr>
            <w:r w:rsidRPr="00EC1F29">
              <w:rPr>
                <w:sz w:val="18"/>
                <w:szCs w:val="18"/>
              </w:rPr>
              <w:t>Henderson, Jim</w:t>
            </w:r>
          </w:p>
        </w:tc>
      </w:tr>
      <w:tr w:rsidR="00CA0820" w:rsidRPr="00EC1F29" w:rsidTr="000E60B9">
        <w:tc>
          <w:tcPr>
            <w:tcW w:w="2574" w:type="dxa"/>
          </w:tcPr>
          <w:p w:rsidR="00CA0820" w:rsidRPr="00EC1F29" w:rsidRDefault="00CA0820" w:rsidP="000E60B9">
            <w:pPr>
              <w:rPr>
                <w:sz w:val="18"/>
                <w:szCs w:val="18"/>
              </w:rPr>
            </w:pPr>
          </w:p>
        </w:tc>
        <w:tc>
          <w:tcPr>
            <w:tcW w:w="2574" w:type="dxa"/>
          </w:tcPr>
          <w:p w:rsidR="00CA0820" w:rsidRPr="00EC1F29" w:rsidRDefault="00CA0820" w:rsidP="000E60B9">
            <w:pPr>
              <w:rPr>
                <w:sz w:val="18"/>
                <w:szCs w:val="18"/>
              </w:rPr>
            </w:pPr>
            <w:r>
              <w:rPr>
                <w:sz w:val="18"/>
                <w:szCs w:val="18"/>
              </w:rPr>
              <w:t>Rowan, Lynne</w:t>
            </w:r>
          </w:p>
        </w:tc>
        <w:tc>
          <w:tcPr>
            <w:tcW w:w="2574" w:type="dxa"/>
          </w:tcPr>
          <w:p w:rsidR="00CA0820" w:rsidRPr="00EC1F29" w:rsidRDefault="00CA0820" w:rsidP="000E60B9">
            <w:pPr>
              <w:rPr>
                <w:sz w:val="18"/>
                <w:szCs w:val="18"/>
              </w:rPr>
            </w:pPr>
            <w:r w:rsidRPr="00EC1F29">
              <w:rPr>
                <w:sz w:val="18"/>
                <w:szCs w:val="18"/>
              </w:rPr>
              <w:t>Rumrill, Phil</w:t>
            </w:r>
          </w:p>
        </w:tc>
        <w:tc>
          <w:tcPr>
            <w:tcW w:w="2574" w:type="dxa"/>
          </w:tcPr>
          <w:p w:rsidR="00CA0820" w:rsidRPr="00EC1F29" w:rsidRDefault="00CA0820" w:rsidP="000E60B9">
            <w:pPr>
              <w:rPr>
                <w:sz w:val="18"/>
                <w:szCs w:val="18"/>
              </w:rPr>
            </w:pPr>
            <w:r w:rsidRPr="00EC1F29">
              <w:rPr>
                <w:sz w:val="18"/>
                <w:szCs w:val="18"/>
              </w:rPr>
              <w:t>O’Connor, Pat</w:t>
            </w:r>
          </w:p>
        </w:tc>
      </w:tr>
    </w:tbl>
    <w:p w:rsidR="00193986" w:rsidRDefault="00193986" w:rsidP="00193986">
      <w:pPr>
        <w:rPr>
          <w:sz w:val="18"/>
          <w:szCs w:val="18"/>
        </w:rPr>
      </w:pPr>
      <w:r w:rsidRPr="00BB3F7E">
        <w:rPr>
          <w:sz w:val="18"/>
          <w:szCs w:val="18"/>
        </w:rPr>
        <w:t>GUESTS:</w:t>
      </w:r>
      <w:r>
        <w:rPr>
          <w:sz w:val="18"/>
          <w:szCs w:val="18"/>
        </w:rPr>
        <w:t xml:space="preserve">  </w:t>
      </w:r>
      <w:r w:rsidR="00CA0820">
        <w:rPr>
          <w:sz w:val="18"/>
          <w:szCs w:val="18"/>
        </w:rPr>
        <w:t xml:space="preserve">Rachel Foot, Doc Forum; Erica Eckert, Assessment </w:t>
      </w:r>
      <w:proofErr w:type="spellStart"/>
      <w:r w:rsidR="00CA0820">
        <w:rPr>
          <w:sz w:val="18"/>
          <w:szCs w:val="18"/>
        </w:rPr>
        <w:t>Coord</w:t>
      </w:r>
      <w:proofErr w:type="spellEnd"/>
      <w:r w:rsidR="00CA0820">
        <w:rPr>
          <w:sz w:val="18"/>
          <w:szCs w:val="18"/>
        </w:rPr>
        <w:t>.</w:t>
      </w:r>
    </w:p>
    <w:p w:rsidR="00193986" w:rsidRDefault="00193986" w:rsidP="00193986"/>
    <w:tbl>
      <w:tblPr>
        <w:tblStyle w:val="TableGrid"/>
        <w:tblW w:w="0" w:type="auto"/>
        <w:tblLook w:val="04A0" w:firstRow="1" w:lastRow="0" w:firstColumn="1" w:lastColumn="0" w:noHBand="0" w:noVBand="1"/>
      </w:tblPr>
      <w:tblGrid>
        <w:gridCol w:w="2178"/>
        <w:gridCol w:w="5940"/>
        <w:gridCol w:w="2178"/>
      </w:tblGrid>
      <w:tr w:rsidR="00661B95" w:rsidRPr="00024308" w:rsidTr="00661B95">
        <w:tc>
          <w:tcPr>
            <w:tcW w:w="2178" w:type="dxa"/>
          </w:tcPr>
          <w:p w:rsidR="00661B95" w:rsidRPr="00024308" w:rsidRDefault="00661B95" w:rsidP="00661B95">
            <w:pPr>
              <w:rPr>
                <w:b/>
                <w:sz w:val="20"/>
                <w:szCs w:val="20"/>
              </w:rPr>
            </w:pPr>
            <w:r w:rsidRPr="00024308">
              <w:rPr>
                <w:b/>
                <w:sz w:val="20"/>
                <w:szCs w:val="20"/>
              </w:rPr>
              <w:t>AGENDA ITEM</w:t>
            </w:r>
          </w:p>
        </w:tc>
        <w:tc>
          <w:tcPr>
            <w:tcW w:w="5940" w:type="dxa"/>
          </w:tcPr>
          <w:p w:rsidR="00661B95" w:rsidRPr="00024308" w:rsidRDefault="00661B95" w:rsidP="00661B95">
            <w:pPr>
              <w:jc w:val="center"/>
              <w:rPr>
                <w:b/>
                <w:sz w:val="20"/>
                <w:szCs w:val="20"/>
              </w:rPr>
            </w:pPr>
            <w:r w:rsidRPr="00024308">
              <w:rPr>
                <w:b/>
                <w:sz w:val="20"/>
                <w:szCs w:val="20"/>
              </w:rPr>
              <w:t>DISCUSSION</w:t>
            </w:r>
          </w:p>
        </w:tc>
        <w:tc>
          <w:tcPr>
            <w:tcW w:w="2178" w:type="dxa"/>
          </w:tcPr>
          <w:p w:rsidR="00661B95" w:rsidRPr="00024308" w:rsidRDefault="00661B95" w:rsidP="00661B95">
            <w:pPr>
              <w:jc w:val="center"/>
              <w:rPr>
                <w:b/>
                <w:sz w:val="20"/>
                <w:szCs w:val="20"/>
              </w:rPr>
            </w:pPr>
            <w:r w:rsidRPr="00024308">
              <w:rPr>
                <w:b/>
                <w:sz w:val="20"/>
                <w:szCs w:val="20"/>
              </w:rPr>
              <w:t>ACTION TAKEN</w:t>
            </w:r>
          </w:p>
        </w:tc>
      </w:tr>
      <w:tr w:rsidR="00661B95" w:rsidRPr="00024308" w:rsidTr="00661B95">
        <w:tc>
          <w:tcPr>
            <w:tcW w:w="2178" w:type="dxa"/>
          </w:tcPr>
          <w:p w:rsidR="00661B95" w:rsidRPr="00024308" w:rsidRDefault="00F41F8B" w:rsidP="00661B95">
            <w:pPr>
              <w:rPr>
                <w:sz w:val="20"/>
                <w:szCs w:val="20"/>
              </w:rPr>
            </w:pPr>
            <w:r>
              <w:rPr>
                <w:sz w:val="20"/>
                <w:szCs w:val="20"/>
              </w:rPr>
              <w:t>News from Rachel Foot and the Doctoral Forum</w:t>
            </w:r>
          </w:p>
        </w:tc>
        <w:tc>
          <w:tcPr>
            <w:tcW w:w="5940" w:type="dxa"/>
          </w:tcPr>
          <w:p w:rsidR="00661B95" w:rsidRPr="00024308" w:rsidRDefault="00CA0820" w:rsidP="00E6744B">
            <w:pPr>
              <w:rPr>
                <w:sz w:val="20"/>
                <w:szCs w:val="20"/>
              </w:rPr>
            </w:pPr>
            <w:r>
              <w:rPr>
                <w:sz w:val="20"/>
                <w:szCs w:val="20"/>
              </w:rPr>
              <w:t xml:space="preserve">R. Foot </w:t>
            </w:r>
            <w:r w:rsidR="0027774A">
              <w:rPr>
                <w:sz w:val="20"/>
                <w:szCs w:val="20"/>
              </w:rPr>
              <w:t>explained she is the lead coordin</w:t>
            </w:r>
            <w:r>
              <w:rPr>
                <w:sz w:val="20"/>
                <w:szCs w:val="20"/>
              </w:rPr>
              <w:t>ator</w:t>
            </w:r>
            <w:r w:rsidR="0027774A">
              <w:rPr>
                <w:sz w:val="20"/>
                <w:szCs w:val="20"/>
              </w:rPr>
              <w:t xml:space="preserve"> for the doctoral </w:t>
            </w:r>
            <w:r>
              <w:rPr>
                <w:sz w:val="20"/>
                <w:szCs w:val="20"/>
              </w:rPr>
              <w:t>forum.</w:t>
            </w:r>
            <w:r w:rsidR="0027774A">
              <w:rPr>
                <w:sz w:val="20"/>
                <w:szCs w:val="20"/>
              </w:rPr>
              <w:t xml:space="preserve">  The forum </w:t>
            </w:r>
            <w:r>
              <w:rPr>
                <w:sz w:val="20"/>
                <w:szCs w:val="20"/>
              </w:rPr>
              <w:t>holds</w:t>
            </w:r>
            <w:r w:rsidR="0027774A">
              <w:rPr>
                <w:sz w:val="20"/>
                <w:szCs w:val="20"/>
              </w:rPr>
              <w:t xml:space="preserve"> events </w:t>
            </w:r>
            <w:r>
              <w:rPr>
                <w:sz w:val="20"/>
                <w:szCs w:val="20"/>
              </w:rPr>
              <w:t xml:space="preserve">designed </w:t>
            </w:r>
            <w:r w:rsidR="0027774A">
              <w:rPr>
                <w:sz w:val="20"/>
                <w:szCs w:val="20"/>
              </w:rPr>
              <w:t xml:space="preserve">to assist the doctoral </w:t>
            </w:r>
            <w:r>
              <w:rPr>
                <w:sz w:val="20"/>
                <w:szCs w:val="20"/>
              </w:rPr>
              <w:t xml:space="preserve">students including mini conferences, workshops, </w:t>
            </w:r>
            <w:r w:rsidR="00E6744B">
              <w:rPr>
                <w:sz w:val="20"/>
                <w:szCs w:val="20"/>
              </w:rPr>
              <w:t>and study</w:t>
            </w:r>
            <w:r>
              <w:rPr>
                <w:sz w:val="20"/>
                <w:szCs w:val="20"/>
              </w:rPr>
              <w:t xml:space="preserve"> sessions. </w:t>
            </w:r>
            <w:r w:rsidR="0027774A">
              <w:rPr>
                <w:sz w:val="20"/>
                <w:szCs w:val="20"/>
              </w:rPr>
              <w:t xml:space="preserve"> </w:t>
            </w:r>
            <w:r>
              <w:rPr>
                <w:sz w:val="20"/>
                <w:szCs w:val="20"/>
              </w:rPr>
              <w:t>T</w:t>
            </w:r>
            <w:r w:rsidR="0027774A">
              <w:rPr>
                <w:sz w:val="20"/>
                <w:szCs w:val="20"/>
              </w:rPr>
              <w:t>he faculty</w:t>
            </w:r>
            <w:r>
              <w:rPr>
                <w:sz w:val="20"/>
                <w:szCs w:val="20"/>
              </w:rPr>
              <w:t xml:space="preserve"> was</w:t>
            </w:r>
            <w:r w:rsidR="0027774A">
              <w:rPr>
                <w:sz w:val="20"/>
                <w:szCs w:val="20"/>
              </w:rPr>
              <w:t xml:space="preserve"> </w:t>
            </w:r>
            <w:r>
              <w:rPr>
                <w:sz w:val="20"/>
                <w:szCs w:val="20"/>
              </w:rPr>
              <w:t xml:space="preserve">asked to </w:t>
            </w:r>
            <w:r w:rsidR="0027774A">
              <w:rPr>
                <w:sz w:val="20"/>
                <w:szCs w:val="20"/>
              </w:rPr>
              <w:t xml:space="preserve">encourage their students to attend the doc forum events and get involved.  </w:t>
            </w:r>
            <w:r w:rsidR="00E6744B">
              <w:rPr>
                <w:sz w:val="20"/>
                <w:szCs w:val="20"/>
              </w:rPr>
              <w:t>A</w:t>
            </w:r>
            <w:r w:rsidR="0027774A">
              <w:rPr>
                <w:sz w:val="20"/>
                <w:szCs w:val="20"/>
              </w:rPr>
              <w:t xml:space="preserve">nything </w:t>
            </w:r>
            <w:r w:rsidR="00E6744B">
              <w:rPr>
                <w:sz w:val="20"/>
                <w:szCs w:val="20"/>
              </w:rPr>
              <w:t xml:space="preserve">the faculty would like </w:t>
            </w:r>
            <w:r w:rsidR="0027774A">
              <w:rPr>
                <w:sz w:val="20"/>
                <w:szCs w:val="20"/>
              </w:rPr>
              <w:t>distributed</w:t>
            </w:r>
            <w:r w:rsidR="00E6744B">
              <w:rPr>
                <w:sz w:val="20"/>
                <w:szCs w:val="20"/>
              </w:rPr>
              <w:t xml:space="preserve"> to the doctoral students can be sent to her be put out </w:t>
            </w:r>
            <w:r w:rsidR="0027774A">
              <w:rPr>
                <w:sz w:val="20"/>
                <w:szCs w:val="20"/>
              </w:rPr>
              <w:t xml:space="preserve">on the doctoral listserv.  She explained she will be doing video interviews with several faculty members asking questions that students would like answers to.  She also gave them an update on </w:t>
            </w:r>
            <w:r w:rsidR="00E6744B">
              <w:rPr>
                <w:sz w:val="20"/>
                <w:szCs w:val="20"/>
              </w:rPr>
              <w:t>the research</w:t>
            </w:r>
            <w:r w:rsidR="0027774A">
              <w:rPr>
                <w:sz w:val="20"/>
                <w:szCs w:val="20"/>
              </w:rPr>
              <w:t xml:space="preserve"> database.   She explained that they have a peer mentorship program.  They also need volunteers for the mentorship</w:t>
            </w:r>
            <w:r w:rsidR="00E6744B">
              <w:rPr>
                <w:sz w:val="20"/>
                <w:szCs w:val="20"/>
              </w:rPr>
              <w:t xml:space="preserve"> program</w:t>
            </w:r>
            <w:r w:rsidR="0027774A">
              <w:rPr>
                <w:sz w:val="20"/>
                <w:szCs w:val="20"/>
              </w:rPr>
              <w:t xml:space="preserve">.  </w:t>
            </w:r>
          </w:p>
        </w:tc>
        <w:tc>
          <w:tcPr>
            <w:tcW w:w="2178" w:type="dxa"/>
          </w:tcPr>
          <w:p w:rsidR="00661B95" w:rsidRPr="00024308" w:rsidRDefault="00661B95" w:rsidP="00661B95">
            <w:pPr>
              <w:rPr>
                <w:sz w:val="20"/>
                <w:szCs w:val="20"/>
              </w:rPr>
            </w:pPr>
          </w:p>
        </w:tc>
      </w:tr>
      <w:tr w:rsidR="00661B95" w:rsidRPr="00024308" w:rsidTr="00661B95">
        <w:tc>
          <w:tcPr>
            <w:tcW w:w="2178" w:type="dxa"/>
          </w:tcPr>
          <w:p w:rsidR="00661B95" w:rsidRPr="00024308" w:rsidRDefault="00F41F8B" w:rsidP="00661B95">
            <w:pPr>
              <w:rPr>
                <w:sz w:val="20"/>
                <w:szCs w:val="20"/>
              </w:rPr>
            </w:pPr>
            <w:r>
              <w:rPr>
                <w:sz w:val="20"/>
                <w:szCs w:val="20"/>
              </w:rPr>
              <w:t>Introduction of N.J. Akbar, Director of Minority Recruitment</w:t>
            </w:r>
          </w:p>
        </w:tc>
        <w:tc>
          <w:tcPr>
            <w:tcW w:w="5940" w:type="dxa"/>
          </w:tcPr>
          <w:p w:rsidR="00661B95" w:rsidRPr="00024308" w:rsidRDefault="008979FA" w:rsidP="00661B95">
            <w:pPr>
              <w:rPr>
                <w:sz w:val="20"/>
                <w:szCs w:val="20"/>
              </w:rPr>
            </w:pPr>
            <w:r>
              <w:rPr>
                <w:sz w:val="20"/>
                <w:szCs w:val="20"/>
              </w:rPr>
              <w:t>Unable to attend - ill</w:t>
            </w:r>
          </w:p>
        </w:tc>
        <w:tc>
          <w:tcPr>
            <w:tcW w:w="2178" w:type="dxa"/>
          </w:tcPr>
          <w:p w:rsidR="00661B95" w:rsidRPr="00024308" w:rsidRDefault="00661B95" w:rsidP="00661B95">
            <w:pPr>
              <w:rPr>
                <w:sz w:val="20"/>
                <w:szCs w:val="20"/>
              </w:rPr>
            </w:pPr>
          </w:p>
        </w:tc>
      </w:tr>
      <w:tr w:rsidR="00661B95" w:rsidRPr="00024308" w:rsidTr="00661B95">
        <w:tc>
          <w:tcPr>
            <w:tcW w:w="2178" w:type="dxa"/>
          </w:tcPr>
          <w:p w:rsidR="00661B95" w:rsidRPr="00024308" w:rsidRDefault="00F41F8B" w:rsidP="00661B95">
            <w:pPr>
              <w:rPr>
                <w:sz w:val="20"/>
                <w:szCs w:val="20"/>
              </w:rPr>
            </w:pPr>
            <w:r>
              <w:rPr>
                <w:sz w:val="20"/>
                <w:szCs w:val="20"/>
              </w:rPr>
              <w:t xml:space="preserve">Erica </w:t>
            </w:r>
            <w:r w:rsidR="00444911">
              <w:rPr>
                <w:sz w:val="20"/>
                <w:szCs w:val="20"/>
              </w:rPr>
              <w:t>Eckert and the Magical World of Assessment</w:t>
            </w:r>
          </w:p>
        </w:tc>
        <w:tc>
          <w:tcPr>
            <w:tcW w:w="5940" w:type="dxa"/>
          </w:tcPr>
          <w:p w:rsidR="00661B95" w:rsidRPr="00024308" w:rsidRDefault="00E6744B" w:rsidP="00E6744B">
            <w:pPr>
              <w:rPr>
                <w:sz w:val="20"/>
                <w:szCs w:val="20"/>
              </w:rPr>
            </w:pPr>
            <w:r>
              <w:rPr>
                <w:sz w:val="20"/>
                <w:szCs w:val="20"/>
              </w:rPr>
              <w:t>E. Eckert</w:t>
            </w:r>
            <w:r w:rsidR="008979FA">
              <w:rPr>
                <w:sz w:val="20"/>
                <w:szCs w:val="20"/>
              </w:rPr>
              <w:t xml:space="preserve"> explained that we are ramping up for the NCATE visit in 2015.  She not only works with NCATE</w:t>
            </w:r>
            <w:r>
              <w:rPr>
                <w:sz w:val="20"/>
                <w:szCs w:val="20"/>
              </w:rPr>
              <w:t xml:space="preserve"> information,</w:t>
            </w:r>
            <w:r w:rsidR="008979FA">
              <w:rPr>
                <w:sz w:val="20"/>
                <w:szCs w:val="20"/>
              </w:rPr>
              <w:t xml:space="preserve"> but all assessment areas.  She has a great deal of technical background and can assist faculty obtaining the information they need.  </w:t>
            </w:r>
            <w:r>
              <w:rPr>
                <w:sz w:val="20"/>
                <w:szCs w:val="20"/>
              </w:rPr>
              <w:t>A</w:t>
            </w:r>
            <w:r w:rsidR="008979FA">
              <w:rPr>
                <w:sz w:val="20"/>
                <w:szCs w:val="20"/>
              </w:rPr>
              <w:t>n overview of everything that she does</w:t>
            </w:r>
            <w:r>
              <w:rPr>
                <w:sz w:val="20"/>
                <w:szCs w:val="20"/>
              </w:rPr>
              <w:t xml:space="preserve"> was given to members</w:t>
            </w:r>
            <w:r w:rsidR="008979FA">
              <w:rPr>
                <w:sz w:val="20"/>
                <w:szCs w:val="20"/>
              </w:rPr>
              <w:t>.</w:t>
            </w:r>
            <w:r w:rsidR="00421AB3">
              <w:rPr>
                <w:sz w:val="20"/>
                <w:szCs w:val="20"/>
              </w:rPr>
              <w:t xml:space="preserve">  </w:t>
            </w:r>
            <w:r w:rsidR="00CF2C26">
              <w:rPr>
                <w:sz w:val="20"/>
                <w:szCs w:val="20"/>
              </w:rPr>
              <w:t xml:space="preserve">There were several discussions of various areas where Erica may be of assistance. </w:t>
            </w:r>
          </w:p>
        </w:tc>
        <w:tc>
          <w:tcPr>
            <w:tcW w:w="2178" w:type="dxa"/>
          </w:tcPr>
          <w:p w:rsidR="00661B95" w:rsidRPr="00024308" w:rsidRDefault="00661B95" w:rsidP="00661B95">
            <w:pPr>
              <w:rPr>
                <w:sz w:val="20"/>
                <w:szCs w:val="20"/>
              </w:rPr>
            </w:pPr>
          </w:p>
        </w:tc>
      </w:tr>
      <w:tr w:rsidR="00444911" w:rsidRPr="00024308" w:rsidTr="00661B95">
        <w:tc>
          <w:tcPr>
            <w:tcW w:w="2178" w:type="dxa"/>
          </w:tcPr>
          <w:p w:rsidR="00444911" w:rsidRDefault="00444911" w:rsidP="00661B95">
            <w:pPr>
              <w:rPr>
                <w:sz w:val="20"/>
                <w:szCs w:val="20"/>
              </w:rPr>
            </w:pPr>
            <w:r>
              <w:rPr>
                <w:sz w:val="20"/>
                <w:szCs w:val="20"/>
              </w:rPr>
              <w:t>GSAAC Report of EHHS application comparisons</w:t>
            </w:r>
          </w:p>
        </w:tc>
        <w:tc>
          <w:tcPr>
            <w:tcW w:w="5940" w:type="dxa"/>
          </w:tcPr>
          <w:p w:rsidR="00444911" w:rsidRDefault="00F73DA3" w:rsidP="00661B95">
            <w:pPr>
              <w:rPr>
                <w:sz w:val="20"/>
                <w:szCs w:val="20"/>
              </w:rPr>
            </w:pPr>
            <w:r>
              <w:rPr>
                <w:sz w:val="20"/>
                <w:szCs w:val="20"/>
              </w:rPr>
              <w:t>C</w:t>
            </w:r>
            <w:r w:rsidR="00585F24">
              <w:rPr>
                <w:sz w:val="20"/>
                <w:szCs w:val="20"/>
              </w:rPr>
              <w:t>. Hackney</w:t>
            </w:r>
            <w:r>
              <w:rPr>
                <w:sz w:val="20"/>
                <w:szCs w:val="20"/>
              </w:rPr>
              <w:t xml:space="preserve"> explained the document from JP</w:t>
            </w:r>
            <w:r w:rsidR="00585F24">
              <w:rPr>
                <w:sz w:val="20"/>
                <w:szCs w:val="20"/>
              </w:rPr>
              <w:t xml:space="preserve"> Cooney</w:t>
            </w:r>
            <w:r>
              <w:rPr>
                <w:sz w:val="20"/>
                <w:szCs w:val="20"/>
              </w:rPr>
              <w:t xml:space="preserve"> is on applications only and not enrollment.  There was much discussion on the validity of the information.  There were many questions on the time frame the info was pulled.  Many programs explained that they have multiple entry points into their programs.  One faculty member suggested that this information be provided for one complete sequence.  </w:t>
            </w:r>
            <w:r w:rsidR="00C65E93">
              <w:rPr>
                <w:sz w:val="20"/>
                <w:szCs w:val="20"/>
              </w:rPr>
              <w:t xml:space="preserve">It was decided that the numbers are irrelevant and not beneficial to the programs.  </w:t>
            </w:r>
            <w:r w:rsidR="00A35925">
              <w:rPr>
                <w:sz w:val="20"/>
                <w:szCs w:val="20"/>
              </w:rPr>
              <w:t xml:space="preserve">One member commented that his program has a new concentration and the applicants for the program have not even been included.  </w:t>
            </w:r>
            <w:r w:rsidR="00B64ADF">
              <w:rPr>
                <w:sz w:val="20"/>
                <w:szCs w:val="20"/>
              </w:rPr>
              <w:t xml:space="preserve">Faculty felt it was not their job to provide correct number to Grad Studies.  It was unclear the time frame of the report and what information was included.  </w:t>
            </w:r>
            <w:r w:rsidR="00180FFD">
              <w:rPr>
                <w:sz w:val="20"/>
                <w:szCs w:val="20"/>
              </w:rPr>
              <w:t xml:space="preserve"> One faculty member shared that the </w:t>
            </w:r>
            <w:r w:rsidR="00180FFD">
              <w:rPr>
                <w:sz w:val="20"/>
                <w:szCs w:val="20"/>
              </w:rPr>
              <w:lastRenderedPageBreak/>
              <w:t xml:space="preserve">frustration felt by faculty was mostly due to the inaccuracy of the information and quality of the information provided by Graduate Studies.  </w:t>
            </w:r>
          </w:p>
          <w:p w:rsidR="00B723C2" w:rsidRDefault="00B723C2" w:rsidP="00661B95">
            <w:pPr>
              <w:rPr>
                <w:sz w:val="20"/>
                <w:szCs w:val="20"/>
              </w:rPr>
            </w:pPr>
          </w:p>
          <w:p w:rsidR="00B723C2" w:rsidRPr="00024308" w:rsidRDefault="00B723C2" w:rsidP="00661B95">
            <w:pPr>
              <w:rPr>
                <w:sz w:val="20"/>
                <w:szCs w:val="20"/>
              </w:rPr>
            </w:pPr>
            <w:r>
              <w:rPr>
                <w:sz w:val="20"/>
                <w:szCs w:val="20"/>
              </w:rPr>
              <w:t xml:space="preserve">There was discussion regarding the fact that Graduate Studies is truly trying to help everyone.  </w:t>
            </w:r>
            <w:r w:rsidR="00636AD3">
              <w:rPr>
                <w:sz w:val="20"/>
                <w:szCs w:val="20"/>
              </w:rPr>
              <w:t xml:space="preserve">There was a suggestion that programs are often misapplied for and wondered if there could be a place where the faculty could contact the applicant to make sure they are applying for the proper program.  </w:t>
            </w:r>
          </w:p>
        </w:tc>
        <w:tc>
          <w:tcPr>
            <w:tcW w:w="2178" w:type="dxa"/>
          </w:tcPr>
          <w:p w:rsidR="00444911" w:rsidRPr="00024308" w:rsidRDefault="00444911" w:rsidP="00661B95">
            <w:pPr>
              <w:rPr>
                <w:sz w:val="20"/>
                <w:szCs w:val="20"/>
              </w:rPr>
            </w:pPr>
          </w:p>
        </w:tc>
      </w:tr>
      <w:tr w:rsidR="00444911" w:rsidRPr="00024308" w:rsidTr="00661B95">
        <w:tc>
          <w:tcPr>
            <w:tcW w:w="2178" w:type="dxa"/>
          </w:tcPr>
          <w:p w:rsidR="00444911" w:rsidRDefault="00444911" w:rsidP="00661B95">
            <w:pPr>
              <w:rPr>
                <w:sz w:val="20"/>
                <w:szCs w:val="20"/>
              </w:rPr>
            </w:pPr>
            <w:r>
              <w:rPr>
                <w:sz w:val="20"/>
                <w:szCs w:val="20"/>
              </w:rPr>
              <w:lastRenderedPageBreak/>
              <w:t>Graduate Assistant Guidelines Draft</w:t>
            </w:r>
          </w:p>
        </w:tc>
        <w:tc>
          <w:tcPr>
            <w:tcW w:w="5940" w:type="dxa"/>
          </w:tcPr>
          <w:p w:rsidR="00444911" w:rsidRPr="00024308" w:rsidRDefault="009D3B99" w:rsidP="00585F24">
            <w:pPr>
              <w:rPr>
                <w:sz w:val="20"/>
                <w:szCs w:val="20"/>
              </w:rPr>
            </w:pPr>
            <w:r>
              <w:rPr>
                <w:sz w:val="20"/>
                <w:szCs w:val="20"/>
              </w:rPr>
              <w:t>C</w:t>
            </w:r>
            <w:r w:rsidR="00585F24">
              <w:rPr>
                <w:sz w:val="20"/>
                <w:szCs w:val="20"/>
              </w:rPr>
              <w:t xml:space="preserve">. Hackney </w:t>
            </w:r>
            <w:r>
              <w:rPr>
                <w:sz w:val="20"/>
                <w:szCs w:val="20"/>
              </w:rPr>
              <w:t xml:space="preserve">provided the faculty with a draft document on how GAs </w:t>
            </w:r>
            <w:proofErr w:type="gramStart"/>
            <w:r>
              <w:rPr>
                <w:sz w:val="20"/>
                <w:szCs w:val="20"/>
              </w:rPr>
              <w:t>are</w:t>
            </w:r>
            <w:proofErr w:type="gramEnd"/>
            <w:r>
              <w:rPr>
                <w:sz w:val="20"/>
                <w:szCs w:val="20"/>
              </w:rPr>
              <w:t xml:space="preserve"> to be used.  She asked the faculty to provide her any feedback they have on the document.</w:t>
            </w:r>
          </w:p>
        </w:tc>
        <w:tc>
          <w:tcPr>
            <w:tcW w:w="2178" w:type="dxa"/>
          </w:tcPr>
          <w:p w:rsidR="00444911" w:rsidRPr="00024308" w:rsidRDefault="00444911" w:rsidP="00661B95">
            <w:pPr>
              <w:rPr>
                <w:sz w:val="20"/>
                <w:szCs w:val="20"/>
              </w:rPr>
            </w:pPr>
          </w:p>
        </w:tc>
      </w:tr>
      <w:tr w:rsidR="00444911" w:rsidRPr="00024308" w:rsidTr="00661B95">
        <w:tc>
          <w:tcPr>
            <w:tcW w:w="2178" w:type="dxa"/>
          </w:tcPr>
          <w:p w:rsidR="00444911" w:rsidRDefault="00444911" w:rsidP="00661B95">
            <w:pPr>
              <w:rPr>
                <w:sz w:val="20"/>
                <w:szCs w:val="20"/>
              </w:rPr>
            </w:pPr>
            <w:r>
              <w:rPr>
                <w:sz w:val="20"/>
                <w:szCs w:val="20"/>
              </w:rPr>
              <w:t>Updating our Vitae – GA Allocation</w:t>
            </w:r>
          </w:p>
        </w:tc>
        <w:tc>
          <w:tcPr>
            <w:tcW w:w="5940" w:type="dxa"/>
          </w:tcPr>
          <w:p w:rsidR="00444911" w:rsidRPr="00024308" w:rsidRDefault="00585F24" w:rsidP="00585F24">
            <w:pPr>
              <w:rPr>
                <w:sz w:val="20"/>
                <w:szCs w:val="20"/>
              </w:rPr>
            </w:pPr>
            <w:r>
              <w:rPr>
                <w:sz w:val="20"/>
                <w:szCs w:val="20"/>
              </w:rPr>
              <w:t>Faculty was</w:t>
            </w:r>
            <w:r w:rsidR="009D3B99">
              <w:rPr>
                <w:sz w:val="20"/>
                <w:szCs w:val="20"/>
              </w:rPr>
              <w:t xml:space="preserve"> reminded to keep their vitas updated as this is a portion of the</w:t>
            </w:r>
            <w:r>
              <w:rPr>
                <w:sz w:val="20"/>
                <w:szCs w:val="20"/>
              </w:rPr>
              <w:t xml:space="preserve"> formula</w:t>
            </w:r>
            <w:r w:rsidR="009D3B99">
              <w:rPr>
                <w:sz w:val="20"/>
                <w:szCs w:val="20"/>
              </w:rPr>
              <w:t xml:space="preserve"> for GA allocation.  This should be done </w:t>
            </w:r>
            <w:proofErr w:type="spellStart"/>
            <w:r w:rsidR="009D3B99">
              <w:rPr>
                <w:sz w:val="20"/>
                <w:szCs w:val="20"/>
              </w:rPr>
              <w:t>asap</w:t>
            </w:r>
            <w:proofErr w:type="spellEnd"/>
            <w:r w:rsidR="009D3B99">
              <w:rPr>
                <w:sz w:val="20"/>
                <w:szCs w:val="20"/>
              </w:rPr>
              <w:t xml:space="preserve">.  </w:t>
            </w:r>
            <w:r>
              <w:rPr>
                <w:sz w:val="20"/>
                <w:szCs w:val="20"/>
              </w:rPr>
              <w:t xml:space="preserve">It was also shared that </w:t>
            </w:r>
            <w:r w:rsidR="009D3B99">
              <w:rPr>
                <w:sz w:val="20"/>
                <w:szCs w:val="20"/>
              </w:rPr>
              <w:t>B</w:t>
            </w:r>
            <w:r>
              <w:rPr>
                <w:sz w:val="20"/>
                <w:szCs w:val="20"/>
              </w:rPr>
              <w:t xml:space="preserve">. </w:t>
            </w:r>
            <w:proofErr w:type="spellStart"/>
            <w:r>
              <w:rPr>
                <w:sz w:val="20"/>
                <w:szCs w:val="20"/>
              </w:rPr>
              <w:t>DeHoff</w:t>
            </w:r>
            <w:proofErr w:type="spellEnd"/>
            <w:r w:rsidR="009D3B99">
              <w:rPr>
                <w:sz w:val="20"/>
                <w:szCs w:val="20"/>
              </w:rPr>
              <w:t xml:space="preserve"> has the GA evaluation document</w:t>
            </w:r>
            <w:r>
              <w:rPr>
                <w:sz w:val="20"/>
                <w:szCs w:val="20"/>
              </w:rPr>
              <w:t xml:space="preserve"> available for access</w:t>
            </w:r>
            <w:r w:rsidR="009D3B99">
              <w:rPr>
                <w:sz w:val="20"/>
                <w:szCs w:val="20"/>
              </w:rPr>
              <w:t xml:space="preserve"> on the portal.  </w:t>
            </w:r>
          </w:p>
        </w:tc>
        <w:tc>
          <w:tcPr>
            <w:tcW w:w="2178" w:type="dxa"/>
          </w:tcPr>
          <w:p w:rsidR="00444911" w:rsidRPr="00024308" w:rsidRDefault="00444911" w:rsidP="00661B95">
            <w:pPr>
              <w:rPr>
                <w:sz w:val="20"/>
                <w:szCs w:val="20"/>
              </w:rPr>
            </w:pPr>
          </w:p>
        </w:tc>
      </w:tr>
      <w:tr w:rsidR="00444911" w:rsidRPr="00024308" w:rsidTr="00373767">
        <w:tc>
          <w:tcPr>
            <w:tcW w:w="10296" w:type="dxa"/>
            <w:gridSpan w:val="3"/>
          </w:tcPr>
          <w:p w:rsidR="00444911" w:rsidRPr="00444911" w:rsidRDefault="00444911" w:rsidP="00661B95">
            <w:pPr>
              <w:rPr>
                <w:b/>
                <w:sz w:val="20"/>
                <w:szCs w:val="20"/>
              </w:rPr>
            </w:pPr>
            <w:r>
              <w:rPr>
                <w:b/>
                <w:sz w:val="20"/>
                <w:szCs w:val="20"/>
              </w:rPr>
              <w:t>All the lucky non-education program coordinators are excused</w:t>
            </w:r>
          </w:p>
        </w:tc>
      </w:tr>
      <w:tr w:rsidR="00444911" w:rsidRPr="00024308" w:rsidTr="00661B95">
        <w:tc>
          <w:tcPr>
            <w:tcW w:w="2178" w:type="dxa"/>
          </w:tcPr>
          <w:p w:rsidR="00444911" w:rsidRDefault="00444911" w:rsidP="00661B95">
            <w:pPr>
              <w:rPr>
                <w:sz w:val="20"/>
                <w:szCs w:val="20"/>
              </w:rPr>
            </w:pPr>
            <w:r>
              <w:rPr>
                <w:sz w:val="20"/>
                <w:szCs w:val="20"/>
              </w:rPr>
              <w:t>Conceptual Framework Approval</w:t>
            </w:r>
          </w:p>
        </w:tc>
        <w:tc>
          <w:tcPr>
            <w:tcW w:w="5940" w:type="dxa"/>
          </w:tcPr>
          <w:p w:rsidR="00444911" w:rsidRPr="00024308" w:rsidRDefault="00ED7698" w:rsidP="00D10CFD">
            <w:pPr>
              <w:rPr>
                <w:sz w:val="20"/>
                <w:szCs w:val="20"/>
              </w:rPr>
            </w:pPr>
            <w:r>
              <w:rPr>
                <w:sz w:val="20"/>
                <w:szCs w:val="20"/>
              </w:rPr>
              <w:t>C</w:t>
            </w:r>
            <w:r w:rsidR="007F2A68">
              <w:rPr>
                <w:sz w:val="20"/>
                <w:szCs w:val="20"/>
              </w:rPr>
              <w:t xml:space="preserve">. Hackney </w:t>
            </w:r>
            <w:r>
              <w:rPr>
                <w:sz w:val="20"/>
                <w:szCs w:val="20"/>
              </w:rPr>
              <w:t xml:space="preserve">explained the committee </w:t>
            </w:r>
            <w:r w:rsidR="007F2A68">
              <w:rPr>
                <w:sz w:val="20"/>
                <w:szCs w:val="20"/>
              </w:rPr>
              <w:t xml:space="preserve">has </w:t>
            </w:r>
            <w:r>
              <w:rPr>
                <w:sz w:val="20"/>
                <w:szCs w:val="20"/>
              </w:rPr>
              <w:t xml:space="preserve">spent time tweaking the framework.  </w:t>
            </w:r>
            <w:r w:rsidR="007F2A68">
              <w:rPr>
                <w:sz w:val="20"/>
                <w:szCs w:val="20"/>
              </w:rPr>
              <w:t>F</w:t>
            </w:r>
            <w:r>
              <w:rPr>
                <w:sz w:val="20"/>
                <w:szCs w:val="20"/>
              </w:rPr>
              <w:t xml:space="preserve">aculty approval </w:t>
            </w:r>
            <w:r w:rsidR="00D10CFD">
              <w:rPr>
                <w:sz w:val="20"/>
                <w:szCs w:val="20"/>
              </w:rPr>
              <w:t xml:space="preserve">is needed </w:t>
            </w:r>
            <w:r>
              <w:rPr>
                <w:sz w:val="20"/>
                <w:szCs w:val="20"/>
              </w:rPr>
              <w:t xml:space="preserve">before the committee finalizes this document.  </w:t>
            </w:r>
            <w:proofErr w:type="gramStart"/>
            <w:r w:rsidR="00D10CFD">
              <w:rPr>
                <w:sz w:val="20"/>
                <w:szCs w:val="20"/>
              </w:rPr>
              <w:t>Faculty were</w:t>
            </w:r>
            <w:proofErr w:type="gramEnd"/>
            <w:r w:rsidR="00D10CFD">
              <w:rPr>
                <w:sz w:val="20"/>
                <w:szCs w:val="20"/>
              </w:rPr>
              <w:t xml:space="preserve"> asked to respond </w:t>
            </w:r>
            <w:r>
              <w:rPr>
                <w:sz w:val="20"/>
                <w:szCs w:val="20"/>
              </w:rPr>
              <w:t xml:space="preserve">to her by Tuesday.  The TEC committee has already </w:t>
            </w:r>
            <w:r w:rsidR="00D10CFD">
              <w:rPr>
                <w:sz w:val="20"/>
                <w:szCs w:val="20"/>
              </w:rPr>
              <w:t>approved</w:t>
            </w:r>
            <w:r>
              <w:rPr>
                <w:sz w:val="20"/>
                <w:szCs w:val="20"/>
              </w:rPr>
              <w:t xml:space="preserve"> the framework.</w:t>
            </w:r>
          </w:p>
        </w:tc>
        <w:tc>
          <w:tcPr>
            <w:tcW w:w="2178" w:type="dxa"/>
          </w:tcPr>
          <w:p w:rsidR="00444911" w:rsidRPr="00024308" w:rsidRDefault="00444911" w:rsidP="00661B95">
            <w:pPr>
              <w:rPr>
                <w:sz w:val="20"/>
                <w:szCs w:val="20"/>
              </w:rPr>
            </w:pPr>
          </w:p>
        </w:tc>
      </w:tr>
      <w:tr w:rsidR="00444911" w:rsidRPr="00024308" w:rsidTr="00661B95">
        <w:tc>
          <w:tcPr>
            <w:tcW w:w="2178" w:type="dxa"/>
          </w:tcPr>
          <w:p w:rsidR="00444911" w:rsidRDefault="00444911" w:rsidP="00661B95">
            <w:pPr>
              <w:rPr>
                <w:sz w:val="20"/>
                <w:szCs w:val="20"/>
              </w:rPr>
            </w:pPr>
            <w:r>
              <w:rPr>
                <w:sz w:val="20"/>
                <w:szCs w:val="20"/>
              </w:rPr>
              <w:t>Charts completed by Feb. 15</w:t>
            </w:r>
          </w:p>
        </w:tc>
        <w:tc>
          <w:tcPr>
            <w:tcW w:w="5940" w:type="dxa"/>
          </w:tcPr>
          <w:p w:rsidR="00444911" w:rsidRPr="00024308" w:rsidRDefault="009C045C" w:rsidP="009C045C">
            <w:pPr>
              <w:rPr>
                <w:sz w:val="20"/>
                <w:szCs w:val="20"/>
              </w:rPr>
            </w:pPr>
            <w:r>
              <w:rPr>
                <w:sz w:val="20"/>
                <w:szCs w:val="20"/>
              </w:rPr>
              <w:t xml:space="preserve">C. Hackney shared </w:t>
            </w:r>
            <w:r w:rsidR="00053F29">
              <w:rPr>
                <w:sz w:val="20"/>
                <w:szCs w:val="20"/>
              </w:rPr>
              <w:t>if assistance with the charts</w:t>
            </w:r>
            <w:r>
              <w:rPr>
                <w:sz w:val="20"/>
                <w:szCs w:val="20"/>
              </w:rPr>
              <w:t xml:space="preserve"> was needed</w:t>
            </w:r>
            <w:r w:rsidR="00053F29">
              <w:rPr>
                <w:sz w:val="20"/>
                <w:szCs w:val="20"/>
              </w:rPr>
              <w:t xml:space="preserve"> they can schedule time and she will sit down with them.  </w:t>
            </w:r>
            <w:r w:rsidR="005159A7">
              <w:rPr>
                <w:sz w:val="20"/>
                <w:szCs w:val="20"/>
              </w:rPr>
              <w:t>The reports will be used as a composite for NCATE.</w:t>
            </w:r>
            <w:r w:rsidR="001C3D31">
              <w:rPr>
                <w:sz w:val="20"/>
                <w:szCs w:val="20"/>
              </w:rPr>
              <w:t xml:space="preserve">  There was discussion on what information was required for various sections of the framework.</w:t>
            </w:r>
            <w:r w:rsidR="004C23AF">
              <w:rPr>
                <w:sz w:val="20"/>
                <w:szCs w:val="20"/>
              </w:rPr>
              <w:t xml:space="preserve">  </w:t>
            </w:r>
            <w:r>
              <w:rPr>
                <w:sz w:val="20"/>
                <w:szCs w:val="20"/>
              </w:rPr>
              <w:t>T</w:t>
            </w:r>
            <w:r w:rsidR="004C23AF">
              <w:rPr>
                <w:sz w:val="20"/>
                <w:szCs w:val="20"/>
              </w:rPr>
              <w:t xml:space="preserve">he information on the individual documents will be used in creating the composite for the college.  </w:t>
            </w:r>
            <w:r w:rsidR="001F1661">
              <w:rPr>
                <w:sz w:val="20"/>
                <w:szCs w:val="20"/>
              </w:rPr>
              <w:t>There was discussion on complet</w:t>
            </w:r>
            <w:r>
              <w:rPr>
                <w:sz w:val="20"/>
                <w:szCs w:val="20"/>
              </w:rPr>
              <w:t>ing</w:t>
            </w:r>
            <w:r w:rsidR="001F1661">
              <w:rPr>
                <w:sz w:val="20"/>
                <w:szCs w:val="20"/>
              </w:rPr>
              <w:t xml:space="preserve"> these charts.</w:t>
            </w:r>
            <w:r w:rsidR="00A3431A">
              <w:rPr>
                <w:sz w:val="20"/>
                <w:szCs w:val="20"/>
              </w:rPr>
              <w:t xml:space="preserve">  </w:t>
            </w:r>
            <w:r>
              <w:rPr>
                <w:sz w:val="20"/>
                <w:szCs w:val="20"/>
              </w:rPr>
              <w:t>D</w:t>
            </w:r>
            <w:r w:rsidR="00A3431A">
              <w:rPr>
                <w:sz w:val="20"/>
                <w:szCs w:val="20"/>
              </w:rPr>
              <w:t>ata is being collected now throu</w:t>
            </w:r>
            <w:r>
              <w:rPr>
                <w:sz w:val="20"/>
                <w:szCs w:val="20"/>
              </w:rPr>
              <w:t>gh Summer 2013, but the real mea</w:t>
            </w:r>
            <w:r w:rsidR="00A3431A">
              <w:rPr>
                <w:sz w:val="20"/>
                <w:szCs w:val="20"/>
              </w:rPr>
              <w:t xml:space="preserve">t of the report will begin with data collected during fall </w:t>
            </w:r>
            <w:r>
              <w:rPr>
                <w:sz w:val="20"/>
                <w:szCs w:val="20"/>
              </w:rPr>
              <w:t>2</w:t>
            </w:r>
            <w:r w:rsidR="00A3431A">
              <w:rPr>
                <w:sz w:val="20"/>
                <w:szCs w:val="20"/>
              </w:rPr>
              <w:t>013,</w:t>
            </w:r>
            <w:r>
              <w:rPr>
                <w:sz w:val="20"/>
                <w:szCs w:val="20"/>
              </w:rPr>
              <w:t xml:space="preserve"> </w:t>
            </w:r>
            <w:r w:rsidR="00A3431A">
              <w:rPr>
                <w:sz w:val="20"/>
                <w:szCs w:val="20"/>
              </w:rPr>
              <w:t xml:space="preserve">spring 2014, </w:t>
            </w:r>
            <w:r>
              <w:rPr>
                <w:sz w:val="20"/>
                <w:szCs w:val="20"/>
              </w:rPr>
              <w:t xml:space="preserve">and </w:t>
            </w:r>
            <w:r w:rsidR="00A3431A">
              <w:rPr>
                <w:sz w:val="20"/>
                <w:szCs w:val="20"/>
              </w:rPr>
              <w:t>summer 2014.</w:t>
            </w:r>
            <w:r w:rsidR="00DD7A15">
              <w:rPr>
                <w:sz w:val="20"/>
                <w:szCs w:val="20"/>
              </w:rPr>
              <w:t xml:space="preserve">  The data collected during this time should have been tweaked completely.  </w:t>
            </w:r>
          </w:p>
        </w:tc>
        <w:tc>
          <w:tcPr>
            <w:tcW w:w="2178" w:type="dxa"/>
          </w:tcPr>
          <w:p w:rsidR="00444911" w:rsidRPr="00024308" w:rsidRDefault="00444911" w:rsidP="00661B95">
            <w:pPr>
              <w:rPr>
                <w:sz w:val="20"/>
                <w:szCs w:val="20"/>
              </w:rPr>
            </w:pPr>
          </w:p>
        </w:tc>
      </w:tr>
    </w:tbl>
    <w:p w:rsidR="00661B95" w:rsidRPr="00024308" w:rsidRDefault="00661B95" w:rsidP="00661B95">
      <w:pPr>
        <w:rPr>
          <w:sz w:val="20"/>
          <w:szCs w:val="20"/>
        </w:rPr>
      </w:pPr>
    </w:p>
    <w:p w:rsidR="00661B95" w:rsidRPr="00024308" w:rsidRDefault="00661B95" w:rsidP="00661B95">
      <w:pPr>
        <w:rPr>
          <w:sz w:val="20"/>
          <w:szCs w:val="20"/>
        </w:rPr>
      </w:pPr>
      <w:r w:rsidRPr="00024308">
        <w:rPr>
          <w:sz w:val="20"/>
          <w:szCs w:val="20"/>
        </w:rPr>
        <w:t>The meeting was adjourned at</w:t>
      </w:r>
      <w:r w:rsidR="007851EB">
        <w:rPr>
          <w:sz w:val="20"/>
          <w:szCs w:val="20"/>
        </w:rPr>
        <w:t xml:space="preserve"> 11:40 am</w:t>
      </w:r>
    </w:p>
    <w:p w:rsidR="00661B95" w:rsidRPr="00024308" w:rsidRDefault="00661B95" w:rsidP="00661B95">
      <w:pPr>
        <w:rPr>
          <w:sz w:val="20"/>
          <w:szCs w:val="20"/>
        </w:rPr>
      </w:pPr>
      <w:r w:rsidRPr="00024308">
        <w:rPr>
          <w:sz w:val="20"/>
          <w:szCs w:val="20"/>
        </w:rPr>
        <w:t>Next meeting:</w:t>
      </w:r>
      <w:r w:rsidR="007851EB">
        <w:rPr>
          <w:sz w:val="20"/>
          <w:szCs w:val="20"/>
        </w:rPr>
        <w:t xml:space="preserve">  </w:t>
      </w:r>
      <w:r w:rsidR="007851EB" w:rsidRPr="007851EB">
        <w:rPr>
          <w:b/>
          <w:sz w:val="20"/>
          <w:szCs w:val="20"/>
        </w:rPr>
        <w:t>Friday, Feb. 22</w:t>
      </w:r>
      <w:r w:rsidR="007851EB" w:rsidRPr="007851EB">
        <w:rPr>
          <w:b/>
          <w:sz w:val="20"/>
          <w:szCs w:val="20"/>
          <w:vertAlign w:val="superscript"/>
        </w:rPr>
        <w:t>nd</w:t>
      </w:r>
      <w:r w:rsidR="007851EB" w:rsidRPr="007851EB">
        <w:rPr>
          <w:b/>
          <w:sz w:val="20"/>
          <w:szCs w:val="20"/>
        </w:rPr>
        <w:t>, 10:30 – 11:45</w:t>
      </w:r>
    </w:p>
    <w:p w:rsidR="00661B95" w:rsidRPr="00024308" w:rsidRDefault="00661B95" w:rsidP="00661B95">
      <w:pPr>
        <w:rPr>
          <w:sz w:val="20"/>
          <w:szCs w:val="20"/>
        </w:rPr>
      </w:pPr>
    </w:p>
    <w:p w:rsidR="00661B95" w:rsidRPr="00024308" w:rsidRDefault="00661B95" w:rsidP="00661B95">
      <w:pPr>
        <w:rPr>
          <w:sz w:val="20"/>
          <w:szCs w:val="20"/>
        </w:rPr>
      </w:pPr>
      <w:r w:rsidRPr="00024308">
        <w:rPr>
          <w:sz w:val="20"/>
          <w:szCs w:val="20"/>
        </w:rPr>
        <w:t>Respectfully submitted</w:t>
      </w:r>
    </w:p>
    <w:p w:rsidR="00661B95" w:rsidRPr="00024308" w:rsidRDefault="00661B95" w:rsidP="00661B95">
      <w:pPr>
        <w:rPr>
          <w:sz w:val="20"/>
          <w:szCs w:val="20"/>
        </w:rPr>
      </w:pPr>
      <w:r w:rsidRPr="00024308">
        <w:rPr>
          <w:sz w:val="20"/>
          <w:szCs w:val="20"/>
        </w:rPr>
        <w:t>Luci Wymer, Recorder</w:t>
      </w:r>
    </w:p>
    <w:sectPr w:rsidR="00661B95" w:rsidRPr="00024308"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4308"/>
    <w:rsid w:val="00053F29"/>
    <w:rsid w:val="000C224D"/>
    <w:rsid w:val="00180FFD"/>
    <w:rsid w:val="00193986"/>
    <w:rsid w:val="001C3D31"/>
    <w:rsid w:val="001F1661"/>
    <w:rsid w:val="0027774A"/>
    <w:rsid w:val="00421AB3"/>
    <w:rsid w:val="00444911"/>
    <w:rsid w:val="004C23AF"/>
    <w:rsid w:val="005159A7"/>
    <w:rsid w:val="00580FE7"/>
    <w:rsid w:val="00585F24"/>
    <w:rsid w:val="00636AD3"/>
    <w:rsid w:val="00661B95"/>
    <w:rsid w:val="006655C2"/>
    <w:rsid w:val="007851EB"/>
    <w:rsid w:val="007B0156"/>
    <w:rsid w:val="007F2A68"/>
    <w:rsid w:val="008979FA"/>
    <w:rsid w:val="00941FB4"/>
    <w:rsid w:val="00946DD8"/>
    <w:rsid w:val="009C045C"/>
    <w:rsid w:val="009D3B99"/>
    <w:rsid w:val="00A3431A"/>
    <w:rsid w:val="00A35925"/>
    <w:rsid w:val="00B223A2"/>
    <w:rsid w:val="00B64ADF"/>
    <w:rsid w:val="00B723C2"/>
    <w:rsid w:val="00C65E93"/>
    <w:rsid w:val="00CA0820"/>
    <w:rsid w:val="00CF2C26"/>
    <w:rsid w:val="00D10CFD"/>
    <w:rsid w:val="00DD7A15"/>
    <w:rsid w:val="00E6744B"/>
    <w:rsid w:val="00ED7698"/>
    <w:rsid w:val="00EF0307"/>
    <w:rsid w:val="00F41F8B"/>
    <w:rsid w:val="00F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2013-02-06T19:12:00Z</dcterms:created>
  <dcterms:modified xsi:type="dcterms:W3CDTF">2013-02-06T19:12:00Z</dcterms:modified>
</cp:coreProperties>
</file>