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930CFB" w:rsidRDefault="007057C5" w:rsidP="00661B95">
      <w:pPr>
        <w:jc w:val="center"/>
        <w:rPr>
          <w:b/>
          <w:sz w:val="22"/>
        </w:rPr>
      </w:pPr>
      <w:r w:rsidRPr="00930CFB">
        <w:rPr>
          <w:b/>
          <w:sz w:val="22"/>
        </w:rPr>
        <w:t>GRADUATE PROGRAM COORDINATORS MEETING</w:t>
      </w:r>
    </w:p>
    <w:p w:rsidR="00661B95" w:rsidRPr="00930CFB" w:rsidRDefault="00D2159A" w:rsidP="00661B95">
      <w:pPr>
        <w:jc w:val="center"/>
        <w:rPr>
          <w:b/>
          <w:sz w:val="22"/>
        </w:rPr>
      </w:pPr>
      <w:r w:rsidRPr="00930CFB">
        <w:rPr>
          <w:b/>
          <w:sz w:val="22"/>
        </w:rPr>
        <w:t>February 11, 2011</w:t>
      </w:r>
    </w:p>
    <w:p w:rsidR="00661B95" w:rsidRDefault="00661B95" w:rsidP="00661B95">
      <w:pPr>
        <w:jc w:val="center"/>
      </w:pPr>
    </w:p>
    <w:p w:rsidR="00137403" w:rsidRPr="00BB3F7E" w:rsidRDefault="00137403" w:rsidP="00137403">
      <w:pPr>
        <w:rPr>
          <w:sz w:val="18"/>
          <w:szCs w:val="18"/>
        </w:rPr>
      </w:pPr>
      <w:r w:rsidRPr="00BB3F7E">
        <w:rPr>
          <w:sz w:val="18"/>
          <w:szCs w:val="18"/>
        </w:rPr>
        <w:t>MEMBERS ATTENDING: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2574"/>
        <w:gridCol w:w="2574"/>
        <w:gridCol w:w="2574"/>
      </w:tblGrid>
      <w:tr w:rsidR="00137403" w:rsidRPr="00BB3F7E" w:rsidTr="0041360E"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TLC</w:t>
            </w:r>
          </w:p>
        </w:tc>
      </w:tr>
      <w:tr w:rsidR="00137403" w:rsidRPr="00BB3F7E" w:rsidTr="0041360E">
        <w:trPr>
          <w:trHeight w:val="233"/>
        </w:trPr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Devine, Mary Ann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Glickman, Ellen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Barton, Lyle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</w:tr>
      <w:tr w:rsidR="00137403" w:rsidRPr="00BB3F7E" w:rsidTr="0041360E">
        <w:trPr>
          <w:trHeight w:val="233"/>
        </w:trPr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Hackney, Cathy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Gordon, Karen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Cowan, Richard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Collier, Connie</w:t>
            </w:r>
          </w:p>
        </w:tc>
      </w:tr>
      <w:tr w:rsidR="00137403" w:rsidRPr="00BB3F7E" w:rsidTr="0041360E"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Kretovics, Mark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Hawks, John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Richardson, Rhonda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Hutchison, Janice</w:t>
            </w:r>
          </w:p>
        </w:tc>
      </w:tr>
      <w:tr w:rsidR="00137403" w:rsidRPr="00BB3F7E" w:rsidTr="0041360E"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Lyberger, Mark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Kerr, Dianne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Tiene, Drew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Kroeger, Janice</w:t>
            </w:r>
          </w:p>
        </w:tc>
      </w:tr>
      <w:tr w:rsidR="00137403" w:rsidRPr="00BB3F7E" w:rsidTr="0041360E"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McClelland, Averil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Cary Hale for </w:t>
            </w:r>
            <w:r w:rsidRPr="00BB3F7E">
              <w:rPr>
                <w:sz w:val="18"/>
                <w:szCs w:val="18"/>
              </w:rPr>
              <w:t>Peer, Kim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West, John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Morgan, Denise</w:t>
            </w:r>
          </w:p>
        </w:tc>
      </w:tr>
      <w:tr w:rsidR="00137403" w:rsidRPr="00BB3F7E" w:rsidTr="0041360E"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Niesz, Tricia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</w:tr>
      <w:tr w:rsidR="00137403" w:rsidRPr="00BB3F7E" w:rsidTr="0041360E"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Scheule, Barb</w:t>
            </w: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</w:tr>
    </w:tbl>
    <w:p w:rsidR="00137403" w:rsidRPr="00BB3F7E" w:rsidRDefault="00137403" w:rsidP="00137403">
      <w:pPr>
        <w:rPr>
          <w:sz w:val="18"/>
          <w:szCs w:val="18"/>
        </w:rPr>
      </w:pPr>
      <w:r w:rsidRPr="00BB3F7E">
        <w:rPr>
          <w:sz w:val="18"/>
          <w:szCs w:val="18"/>
        </w:rPr>
        <w:t xml:space="preserve">Nancy Barbour, Admin. Affairs; Nancy Miller, OGSS; </w:t>
      </w:r>
      <w:r>
        <w:rPr>
          <w:sz w:val="18"/>
          <w:szCs w:val="18"/>
        </w:rPr>
        <w:t>Luci Wymer, Recorder</w:t>
      </w:r>
    </w:p>
    <w:p w:rsidR="00137403" w:rsidRPr="00BB3F7E" w:rsidRDefault="00137403" w:rsidP="00137403">
      <w:pPr>
        <w:rPr>
          <w:sz w:val="18"/>
          <w:szCs w:val="18"/>
        </w:rPr>
      </w:pPr>
    </w:p>
    <w:p w:rsidR="00137403" w:rsidRPr="00BB3F7E" w:rsidRDefault="00137403" w:rsidP="00137403">
      <w:pPr>
        <w:rPr>
          <w:sz w:val="18"/>
          <w:szCs w:val="18"/>
        </w:rPr>
      </w:pPr>
      <w:r w:rsidRPr="00BB3F7E">
        <w:rPr>
          <w:sz w:val="18"/>
          <w:szCs w:val="18"/>
        </w:rPr>
        <w:t>MEMBERS ABSENT: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2574"/>
        <w:gridCol w:w="2574"/>
        <w:gridCol w:w="2574"/>
      </w:tblGrid>
      <w:tr w:rsidR="00137403" w:rsidRPr="00BB3F7E" w:rsidTr="0041360E"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TLC</w:t>
            </w:r>
          </w:p>
        </w:tc>
      </w:tr>
      <w:tr w:rsidR="00137403" w:rsidRPr="00BB3F7E" w:rsidTr="0041360E">
        <w:trPr>
          <w:trHeight w:val="233"/>
        </w:trPr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McGlothlin, Jason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Brooks, Bette</w:t>
            </w:r>
          </w:p>
        </w:tc>
      </w:tr>
      <w:tr w:rsidR="00137403" w:rsidRPr="00BB3F7E" w:rsidTr="0041360E"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Rumrill, Phil</w:t>
            </w: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Henderson, Jim</w:t>
            </w:r>
          </w:p>
        </w:tc>
      </w:tr>
      <w:tr w:rsidR="00137403" w:rsidRPr="00BB3F7E" w:rsidTr="0041360E"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137403" w:rsidRPr="00BB3F7E" w:rsidRDefault="00137403" w:rsidP="0041360E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O’Connor, Pat</w:t>
            </w:r>
          </w:p>
        </w:tc>
      </w:tr>
    </w:tbl>
    <w:p w:rsidR="00137403" w:rsidRPr="00BB3F7E" w:rsidRDefault="00137403" w:rsidP="00137403">
      <w:pPr>
        <w:rPr>
          <w:sz w:val="18"/>
          <w:szCs w:val="18"/>
        </w:rPr>
      </w:pPr>
      <w:r w:rsidRPr="00BB3F7E">
        <w:rPr>
          <w:sz w:val="18"/>
          <w:szCs w:val="18"/>
        </w:rPr>
        <w:t>GUESTS:</w:t>
      </w:r>
      <w:r>
        <w:rPr>
          <w:sz w:val="18"/>
          <w:szCs w:val="18"/>
        </w:rPr>
        <w:t xml:space="preserve">  None</w:t>
      </w: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Tr="00661B95">
        <w:tc>
          <w:tcPr>
            <w:tcW w:w="2178" w:type="dxa"/>
          </w:tcPr>
          <w:p w:rsidR="00661B95" w:rsidRDefault="007A7C45" w:rsidP="00661B95">
            <w:r>
              <w:t>The GRE/Writing Sample</w:t>
            </w:r>
          </w:p>
        </w:tc>
        <w:tc>
          <w:tcPr>
            <w:tcW w:w="5940" w:type="dxa"/>
          </w:tcPr>
          <w:p w:rsidR="00661B95" w:rsidRPr="00661B95" w:rsidRDefault="005E0FD1" w:rsidP="0041360E">
            <w:r>
              <w:t>There was discussion on the old GRE scores versus the new scores and how it relates to the writing sample and whether or not programs want the writing sample.  N</w:t>
            </w:r>
            <w:r w:rsidR="0041360E">
              <w:t xml:space="preserve">ancy </w:t>
            </w:r>
            <w:r>
              <w:t>M</w:t>
            </w:r>
            <w:r w:rsidR="0041360E">
              <w:t>iller</w:t>
            </w:r>
            <w:r>
              <w:t xml:space="preserve"> explained</w:t>
            </w:r>
            <w:r w:rsidR="0041360E">
              <w:t xml:space="preserve"> to the group that </w:t>
            </w:r>
            <w:r>
              <w:t>students are applying</w:t>
            </w:r>
            <w:r w:rsidR="0041360E">
              <w:t xml:space="preserve"> whose </w:t>
            </w:r>
            <w:r>
              <w:t>GRE scores are very old.  She explained OGSS needs to know how the various programs want to handle this situation.  N</w:t>
            </w:r>
            <w:r w:rsidR="0041360E">
              <w:t xml:space="preserve">ancy </w:t>
            </w:r>
            <w:r>
              <w:t>B</w:t>
            </w:r>
            <w:r w:rsidR="0041360E">
              <w:t>arbour</w:t>
            </w:r>
            <w:r>
              <w:t xml:space="preserve"> explained that the GREs should be redone if their scores do not include the analytical writing scores. </w:t>
            </w:r>
            <w:r w:rsidR="00DE5ED4">
              <w:t>N</w:t>
            </w:r>
            <w:r w:rsidR="0041360E">
              <w:t xml:space="preserve">ancy </w:t>
            </w:r>
            <w:r w:rsidR="00DE5ED4">
              <w:t>M</w:t>
            </w:r>
            <w:r w:rsidR="0041360E">
              <w:t>iller shared the admission process as it relates to a student’s test scores.  With the admissions moving to Graduate Studies these issues need to be resolved as old scores will need to be removed if new scores will be required.</w:t>
            </w:r>
            <w:r w:rsidR="00DE5ED4">
              <w:t xml:space="preserve">  There was discussion on which programs are requiring a writing sample.   </w:t>
            </w:r>
          </w:p>
        </w:tc>
        <w:tc>
          <w:tcPr>
            <w:tcW w:w="2178" w:type="dxa"/>
          </w:tcPr>
          <w:p w:rsidR="00661B95" w:rsidRDefault="005E0FD1" w:rsidP="00661B95">
            <w:r>
              <w:t>The group vote</w:t>
            </w:r>
            <w:r w:rsidR="0041360E">
              <w:t xml:space="preserve">d </w:t>
            </w:r>
            <w:r w:rsidR="00930CFB">
              <w:t>to require all</w:t>
            </w:r>
            <w:r w:rsidR="0072270E">
              <w:t xml:space="preserve"> GRE scores have </w:t>
            </w:r>
            <w:r w:rsidR="0041360E">
              <w:t>the</w:t>
            </w:r>
            <w:r w:rsidR="00930CFB">
              <w:t xml:space="preserve"> analytical writing portion</w:t>
            </w:r>
            <w:r w:rsidR="0072270E">
              <w:t>.</w:t>
            </w:r>
          </w:p>
          <w:p w:rsidR="0072270E" w:rsidRDefault="0041360E" w:rsidP="00661B95">
            <w:r>
              <w:t>Motion p</w:t>
            </w:r>
            <w:r w:rsidR="0072270E">
              <w:t>assed by unanimous vote</w:t>
            </w:r>
          </w:p>
          <w:p w:rsidR="0072270E" w:rsidRDefault="0072270E" w:rsidP="00661B95"/>
          <w:p w:rsidR="0072270E" w:rsidRDefault="0072270E" w:rsidP="00661B95"/>
          <w:p w:rsidR="0072270E" w:rsidRDefault="0072270E" w:rsidP="0041360E">
            <w:r>
              <w:t>N</w:t>
            </w:r>
            <w:r w:rsidR="0041360E">
              <w:t xml:space="preserve">ancy </w:t>
            </w:r>
            <w:r>
              <w:t>B</w:t>
            </w:r>
            <w:r w:rsidR="0041360E">
              <w:t>arbour</w:t>
            </w:r>
            <w:r>
              <w:t xml:space="preserve"> will </w:t>
            </w:r>
            <w:r w:rsidR="0041360E">
              <w:t xml:space="preserve">advise </w:t>
            </w:r>
            <w:r>
              <w:t>the Cultural Found</w:t>
            </w:r>
            <w:r w:rsidR="0041360E">
              <w:t>ations</w:t>
            </w:r>
            <w:r>
              <w:t xml:space="preserve"> Program if the writing sample is part of the program requirements and</w:t>
            </w:r>
            <w:r w:rsidR="0041360E">
              <w:t xml:space="preserve"> if they will need to do a program change through EPC</w:t>
            </w:r>
            <w:r>
              <w:t xml:space="preserve">.  </w:t>
            </w:r>
          </w:p>
        </w:tc>
      </w:tr>
      <w:tr w:rsidR="00661B95" w:rsidTr="00661B95">
        <w:tc>
          <w:tcPr>
            <w:tcW w:w="2178" w:type="dxa"/>
          </w:tcPr>
          <w:p w:rsidR="00661B95" w:rsidRDefault="007A7C45" w:rsidP="00661B95">
            <w:r>
              <w:t>TOEFL Minimums</w:t>
            </w:r>
          </w:p>
        </w:tc>
        <w:tc>
          <w:tcPr>
            <w:tcW w:w="5940" w:type="dxa"/>
          </w:tcPr>
          <w:p w:rsidR="00661B95" w:rsidRDefault="0072270E" w:rsidP="0041360E">
            <w:r>
              <w:t xml:space="preserve">The group was provided summaries of the IETLS, and TOEFL scores.  </w:t>
            </w:r>
            <w:r w:rsidR="0041360E">
              <w:t>There are currently no m</w:t>
            </w:r>
            <w:r>
              <w:t>inimum</w:t>
            </w:r>
            <w:r w:rsidR="0041360E">
              <w:t xml:space="preserve"> scores</w:t>
            </w:r>
            <w:r>
              <w:t xml:space="preserve"> </w:t>
            </w:r>
            <w:r w:rsidR="0041360E">
              <w:t xml:space="preserve">set </w:t>
            </w:r>
            <w:r>
              <w:t xml:space="preserve">for </w:t>
            </w:r>
            <w:r w:rsidR="0041360E">
              <w:t xml:space="preserve">admission.  These need </w:t>
            </w:r>
            <w:r>
              <w:t xml:space="preserve">be established. </w:t>
            </w:r>
            <w:r w:rsidR="00815782">
              <w:t xml:space="preserve">  There was discussion on the</w:t>
            </w:r>
            <w:r w:rsidR="0041360E">
              <w:t xml:space="preserve"> importance of these score and</w:t>
            </w:r>
            <w:r w:rsidR="00815782">
              <w:t xml:space="preserve"> problems caused by low </w:t>
            </w:r>
            <w:r w:rsidR="0041360E">
              <w:t>scores and their affects on the programs.</w:t>
            </w:r>
            <w:r w:rsidR="00D15EFF">
              <w:t xml:space="preserve">  There was a suggestion that an ad hoc committee be </w:t>
            </w:r>
            <w:r w:rsidR="00D15EFF">
              <w:lastRenderedPageBreak/>
              <w:t>formed to review the scores</w:t>
            </w:r>
            <w:r w:rsidR="0041360E">
              <w:t xml:space="preserve"> of currently enrolled students and how this has affected their progress in their individual programs.  The group will then make recommendations to the main committee based on their findings.</w:t>
            </w:r>
          </w:p>
        </w:tc>
        <w:tc>
          <w:tcPr>
            <w:tcW w:w="2178" w:type="dxa"/>
          </w:tcPr>
          <w:p w:rsidR="00D847A1" w:rsidRDefault="00D847A1" w:rsidP="00661B95">
            <w:r>
              <w:lastRenderedPageBreak/>
              <w:t>Ad hoc committee</w:t>
            </w:r>
            <w:r w:rsidR="0041360E">
              <w:t xml:space="preserve"> will contain: </w:t>
            </w:r>
            <w:r w:rsidR="00EE792F">
              <w:t xml:space="preserve"> </w:t>
            </w:r>
            <w:r w:rsidR="00F67150">
              <w:t xml:space="preserve">Barb </w:t>
            </w:r>
            <w:r w:rsidR="00EE792F">
              <w:t>Scheule</w:t>
            </w:r>
            <w:r w:rsidR="00F67150">
              <w:t xml:space="preserve"> or someone from </w:t>
            </w:r>
            <w:r w:rsidR="00EE792F">
              <w:t xml:space="preserve">the Hospitality Management program, </w:t>
            </w:r>
          </w:p>
          <w:p w:rsidR="00D847A1" w:rsidRDefault="00D847A1" w:rsidP="00EE792F">
            <w:r>
              <w:lastRenderedPageBreak/>
              <w:t>Averil McClelland</w:t>
            </w:r>
            <w:r w:rsidR="00EE792F">
              <w:t xml:space="preserve"> and </w:t>
            </w:r>
            <w:r>
              <w:t>Nancy B</w:t>
            </w:r>
            <w:r w:rsidR="00EE792F">
              <w:t>arbour</w:t>
            </w:r>
          </w:p>
        </w:tc>
      </w:tr>
      <w:tr w:rsidR="00661B95" w:rsidTr="00661B95">
        <w:tc>
          <w:tcPr>
            <w:tcW w:w="2178" w:type="dxa"/>
          </w:tcPr>
          <w:p w:rsidR="00661B95" w:rsidRDefault="007A7C45" w:rsidP="00661B95">
            <w:r>
              <w:lastRenderedPageBreak/>
              <w:t>Iraqi Candidates</w:t>
            </w:r>
          </w:p>
        </w:tc>
        <w:tc>
          <w:tcPr>
            <w:tcW w:w="5940" w:type="dxa"/>
          </w:tcPr>
          <w:p w:rsidR="00661B95" w:rsidRDefault="00101EA1" w:rsidP="00CA5F51">
            <w:r>
              <w:t xml:space="preserve">There has been a decision made by the college that </w:t>
            </w:r>
            <w:r w:rsidR="00C653F5">
              <w:t xml:space="preserve">Iraqi </w:t>
            </w:r>
            <w:r>
              <w:t>students will be accepted into the programs without GRE or TOEFL scores.  They are unable to take these</w:t>
            </w:r>
            <w:r w:rsidR="00554769">
              <w:t xml:space="preserve"> tests</w:t>
            </w:r>
            <w:r>
              <w:t xml:space="preserve"> in their country. </w:t>
            </w:r>
            <w:r w:rsidR="00C653F5">
              <w:t>T</w:t>
            </w:r>
            <w:r w:rsidR="00020524">
              <w:t>hese students</w:t>
            </w:r>
            <w:r w:rsidR="00C653F5">
              <w:t xml:space="preserve"> will be accepted</w:t>
            </w:r>
            <w:r w:rsidR="00020524">
              <w:t xml:space="preserve"> </w:t>
            </w:r>
            <w:r w:rsidR="00CA5F51">
              <w:t>c</w:t>
            </w:r>
            <w:r w:rsidR="00020524">
              <w:t xml:space="preserve">onditionally.  </w:t>
            </w:r>
            <w:r w:rsidR="005A368B">
              <w:t>The</w:t>
            </w:r>
            <w:r w:rsidR="00C653F5">
              <w:t xml:space="preserve"> students will be required</w:t>
            </w:r>
            <w:r w:rsidR="005A368B">
              <w:t xml:space="preserve"> to enroll in the ESL center, pass the proficiency test and take the GREs after they are here.  </w:t>
            </w:r>
          </w:p>
        </w:tc>
        <w:tc>
          <w:tcPr>
            <w:tcW w:w="2178" w:type="dxa"/>
          </w:tcPr>
          <w:p w:rsidR="00661B95" w:rsidRDefault="00661B95" w:rsidP="00661B95"/>
        </w:tc>
      </w:tr>
      <w:tr w:rsidR="007A7C45" w:rsidTr="00661B95">
        <w:tc>
          <w:tcPr>
            <w:tcW w:w="2178" w:type="dxa"/>
          </w:tcPr>
          <w:p w:rsidR="007A7C45" w:rsidRDefault="007A7C45" w:rsidP="00661B95">
            <w:r>
              <w:t>Certificate Completion Time</w:t>
            </w:r>
          </w:p>
        </w:tc>
        <w:tc>
          <w:tcPr>
            <w:tcW w:w="5940" w:type="dxa"/>
          </w:tcPr>
          <w:p w:rsidR="007A7C45" w:rsidRDefault="009C0F06" w:rsidP="00CA5F51">
            <w:r>
              <w:t xml:space="preserve">Nancy </w:t>
            </w:r>
            <w:proofErr w:type="gramStart"/>
            <w:r>
              <w:t>explained  there</w:t>
            </w:r>
            <w:proofErr w:type="gramEnd"/>
            <w:r>
              <w:t xml:space="preserve"> is currently nothing listed in the catalog </w:t>
            </w:r>
            <w:r w:rsidR="00450120">
              <w:t xml:space="preserve">regarding the expected completion </w:t>
            </w:r>
            <w:r>
              <w:t xml:space="preserve">time </w:t>
            </w:r>
            <w:r w:rsidR="00450120">
              <w:t>for certificate programs</w:t>
            </w:r>
            <w:r>
              <w:t xml:space="preserve">.  </w:t>
            </w:r>
            <w:r w:rsidR="00EC2CD8">
              <w:t>There was discussion on the average number of credit hours</w:t>
            </w:r>
            <w:r w:rsidR="00450120">
              <w:t xml:space="preserve"> and time</w:t>
            </w:r>
            <w:r w:rsidR="00EC2CD8">
              <w:t xml:space="preserve">. </w:t>
            </w:r>
            <w:r w:rsidR="00450120">
              <w:t>It was noted t</w:t>
            </w:r>
            <w:r w:rsidR="00EC2CD8">
              <w:t xml:space="preserve">hat some students are taking the certificate programs in conjunction with their doctoral or masters programs. </w:t>
            </w:r>
            <w:r w:rsidR="000F4CA5">
              <w:t>The six year time frame will fit in conjunction with both the master’s and doctoral program.</w:t>
            </w:r>
          </w:p>
        </w:tc>
        <w:tc>
          <w:tcPr>
            <w:tcW w:w="2178" w:type="dxa"/>
          </w:tcPr>
          <w:p w:rsidR="007A7C45" w:rsidRDefault="00395C19" w:rsidP="00661B95">
            <w:r>
              <w:t>The group voted to make the</w:t>
            </w:r>
            <w:r w:rsidR="00450120">
              <w:t xml:space="preserve"> expected completion time for certificate programs </w:t>
            </w:r>
            <w:r>
              <w:t>6 years.</w:t>
            </w:r>
          </w:p>
          <w:p w:rsidR="00395C19" w:rsidRDefault="00450120" w:rsidP="00450120">
            <w:r>
              <w:t>Passed u</w:t>
            </w:r>
            <w:r w:rsidR="00395C19">
              <w:t>nanimous</w:t>
            </w:r>
            <w:r>
              <w:t>ly.</w:t>
            </w:r>
          </w:p>
        </w:tc>
      </w:tr>
      <w:tr w:rsidR="007A7C45" w:rsidTr="00661B95">
        <w:tc>
          <w:tcPr>
            <w:tcW w:w="2178" w:type="dxa"/>
          </w:tcPr>
          <w:p w:rsidR="007A7C45" w:rsidRDefault="007A7C45" w:rsidP="00661B95">
            <w:r>
              <w:t>Certificate Programs and Graduation</w:t>
            </w:r>
          </w:p>
        </w:tc>
        <w:tc>
          <w:tcPr>
            <w:tcW w:w="5940" w:type="dxa"/>
          </w:tcPr>
          <w:p w:rsidR="00DA5FEF" w:rsidRDefault="00803C0B" w:rsidP="00661B95">
            <w:r>
              <w:t>C</w:t>
            </w:r>
            <w:r w:rsidR="000F4CA5">
              <w:t>urrently</w:t>
            </w:r>
            <w:r>
              <w:t xml:space="preserve"> there</w:t>
            </w:r>
            <w:r w:rsidR="000F4CA5">
              <w:t xml:space="preserve"> no parameters </w:t>
            </w:r>
            <w:r>
              <w:t>for</w:t>
            </w:r>
            <w:r w:rsidR="000F4CA5">
              <w:t xml:space="preserve"> filing a plan of study by the certificate </w:t>
            </w:r>
            <w:r>
              <w:t xml:space="preserve">program </w:t>
            </w:r>
            <w:r w:rsidR="000F4CA5">
              <w:t xml:space="preserve">students.  It was suggested that </w:t>
            </w:r>
            <w:r>
              <w:t>parameters for both plans of study and graduation applications</w:t>
            </w:r>
            <w:r w:rsidR="000F4CA5">
              <w:t xml:space="preserve"> be the same as the </w:t>
            </w:r>
            <w:r>
              <w:t>master’s</w:t>
            </w:r>
            <w:r w:rsidR="000F4CA5">
              <w:t xml:space="preserve"> requirements</w:t>
            </w:r>
            <w:r>
              <w:t xml:space="preserve">.  Certificate program students </w:t>
            </w:r>
            <w:r w:rsidR="000F4CA5">
              <w:t>must have the</w:t>
            </w:r>
            <w:r>
              <w:t>ir</w:t>
            </w:r>
            <w:r w:rsidR="000F4CA5">
              <w:t xml:space="preserve"> plan of study filed by the 3</w:t>
            </w:r>
            <w:r w:rsidR="000F4CA5" w:rsidRPr="000F4CA5">
              <w:rPr>
                <w:vertAlign w:val="superscript"/>
              </w:rPr>
              <w:t>rd</w:t>
            </w:r>
            <w:r w:rsidR="000F4CA5">
              <w:t xml:space="preserve"> semester or they will have a hold placed on their account.  </w:t>
            </w:r>
            <w:r>
              <w:t xml:space="preserve">They will also be required to apply for graduation by the end of the first week of the semester. </w:t>
            </w:r>
            <w:r w:rsidR="00DA5FEF">
              <w:t>Nancy asked the group to be sure this information</w:t>
            </w:r>
            <w:r>
              <w:t xml:space="preserve"> is shared</w:t>
            </w:r>
            <w:r w:rsidR="00DA5FEF">
              <w:t xml:space="preserve"> with their faculty and th</w:t>
            </w:r>
            <w:r>
              <w:t>e requirements are understood</w:t>
            </w:r>
            <w:r w:rsidR="00DA5FEF">
              <w:t xml:space="preserve">.  </w:t>
            </w:r>
            <w:r>
              <w:t>S</w:t>
            </w:r>
            <w:r w:rsidR="00DA5FEF">
              <w:t xml:space="preserve">everal students have had issues </w:t>
            </w:r>
            <w:r>
              <w:t xml:space="preserve">lately </w:t>
            </w:r>
            <w:r w:rsidR="00DA5FEF">
              <w:t xml:space="preserve">because they were not aware of </w:t>
            </w:r>
            <w:r>
              <w:t xml:space="preserve">graduation </w:t>
            </w:r>
            <w:r w:rsidR="00DA5FEF">
              <w:t>requirements</w:t>
            </w:r>
            <w:r>
              <w:t xml:space="preserve"> or were given misinformation by faculty</w:t>
            </w:r>
            <w:r w:rsidR="00DA5FEF">
              <w:t xml:space="preserve">. </w:t>
            </w:r>
          </w:p>
          <w:p w:rsidR="00DA5FEF" w:rsidRDefault="00DA5FEF" w:rsidP="00661B95"/>
        </w:tc>
        <w:tc>
          <w:tcPr>
            <w:tcW w:w="2178" w:type="dxa"/>
          </w:tcPr>
          <w:p w:rsidR="007A7C45" w:rsidRDefault="007A7C45" w:rsidP="00661B95"/>
        </w:tc>
      </w:tr>
      <w:tr w:rsidR="007A7C45" w:rsidTr="00661B95">
        <w:tc>
          <w:tcPr>
            <w:tcW w:w="2178" w:type="dxa"/>
          </w:tcPr>
          <w:p w:rsidR="007A7C45" w:rsidRDefault="007A7C45" w:rsidP="00661B95">
            <w:r>
              <w:t>Moral Verification Letter</w:t>
            </w:r>
          </w:p>
        </w:tc>
        <w:tc>
          <w:tcPr>
            <w:tcW w:w="5940" w:type="dxa"/>
          </w:tcPr>
          <w:p w:rsidR="007A7C45" w:rsidRDefault="002679E8" w:rsidP="00A04371">
            <w:r>
              <w:t>N</w:t>
            </w:r>
            <w:r w:rsidR="00803C0B">
              <w:t xml:space="preserve">ancy </w:t>
            </w:r>
            <w:r>
              <w:t>B</w:t>
            </w:r>
            <w:r w:rsidR="00803C0B">
              <w:t>arbour</w:t>
            </w:r>
            <w:r>
              <w:t xml:space="preserve"> explained that </w:t>
            </w:r>
            <w:r w:rsidR="00CA5F51">
              <w:t xml:space="preserve">when applying to </w:t>
            </w:r>
            <w:r>
              <w:t xml:space="preserve">any program </w:t>
            </w:r>
            <w:r w:rsidR="00CA5F51">
              <w:t>with</w:t>
            </w:r>
            <w:r>
              <w:t xml:space="preserve"> licensure tied to it</w:t>
            </w:r>
            <w:r w:rsidR="00CA5F51">
              <w:t xml:space="preserve"> there</w:t>
            </w:r>
            <w:r>
              <w:t xml:space="preserve"> must </w:t>
            </w:r>
            <w:r w:rsidR="00CA5F51">
              <w:t>be</w:t>
            </w:r>
            <w:r>
              <w:t xml:space="preserve"> a letter attesting to the</w:t>
            </w:r>
            <w:r w:rsidR="00CA5F51">
              <w:t xml:space="preserve"> student’s</w:t>
            </w:r>
            <w:r>
              <w:t xml:space="preserve"> moral character. </w:t>
            </w:r>
            <w:r w:rsidR="00C20C64">
              <w:t xml:space="preserve"> She explained that the university requires the</w:t>
            </w:r>
            <w:r w:rsidR="00CA5F51">
              <w:t xml:space="preserve"> student</w:t>
            </w:r>
            <w:r w:rsidR="00C20C64">
              <w:t xml:space="preserve"> make a statement </w:t>
            </w:r>
            <w:r w:rsidR="00930CFB">
              <w:t>regarding the commission of any felonies</w:t>
            </w:r>
            <w:r w:rsidR="00C20C64">
              <w:t xml:space="preserve"> and explain if this is the case.  She explained that this could prevent them from obtaining a license.</w:t>
            </w:r>
          </w:p>
        </w:tc>
        <w:tc>
          <w:tcPr>
            <w:tcW w:w="2178" w:type="dxa"/>
          </w:tcPr>
          <w:p w:rsidR="007A7C45" w:rsidRDefault="007A7C45" w:rsidP="00661B95"/>
        </w:tc>
      </w:tr>
      <w:tr w:rsidR="00CF3C66" w:rsidTr="00661B95">
        <w:tc>
          <w:tcPr>
            <w:tcW w:w="2178" w:type="dxa"/>
          </w:tcPr>
          <w:p w:rsidR="00CF3C66" w:rsidRDefault="00CF3C66" w:rsidP="00661B95">
            <w:r>
              <w:t xml:space="preserve">Update:  </w:t>
            </w:r>
          </w:p>
          <w:p w:rsidR="00CF3C66" w:rsidRDefault="00CF3C66" w:rsidP="00661B95">
            <w:r>
              <w:t>GA Budget</w:t>
            </w:r>
          </w:p>
          <w:p w:rsidR="00CF3C66" w:rsidRDefault="00CF3C66" w:rsidP="00661B95"/>
        </w:tc>
        <w:tc>
          <w:tcPr>
            <w:tcW w:w="5940" w:type="dxa"/>
          </w:tcPr>
          <w:p w:rsidR="00CF3C66" w:rsidRDefault="00CF3C66" w:rsidP="00930CFB">
            <w:r>
              <w:t>N</w:t>
            </w:r>
            <w:r w:rsidR="00930CFB">
              <w:t xml:space="preserve">ancy </w:t>
            </w:r>
            <w:r>
              <w:t>B</w:t>
            </w:r>
            <w:r w:rsidR="00930CFB">
              <w:t>arbour</w:t>
            </w:r>
            <w:r>
              <w:t xml:space="preserve"> shared that the GA budget should be finalized the beginning of next week.  </w:t>
            </w:r>
            <w:r w:rsidR="00930CFB">
              <w:t>Cutting back to only one</w:t>
            </w:r>
            <w:r>
              <w:t xml:space="preserve"> review per year</w:t>
            </w:r>
            <w:r w:rsidR="00930CFB">
              <w:t xml:space="preserve"> is being considered</w:t>
            </w:r>
            <w:r>
              <w:t>.</w:t>
            </w:r>
            <w:r w:rsidR="00930CFB">
              <w:t xml:space="preserve">  </w:t>
            </w:r>
          </w:p>
        </w:tc>
        <w:tc>
          <w:tcPr>
            <w:tcW w:w="2178" w:type="dxa"/>
          </w:tcPr>
          <w:p w:rsidR="00CF3C66" w:rsidRDefault="00CF3C66" w:rsidP="00661B95"/>
        </w:tc>
      </w:tr>
    </w:tbl>
    <w:p w:rsidR="00661B95" w:rsidRDefault="00661B95" w:rsidP="00661B95"/>
    <w:p w:rsidR="00661B95" w:rsidRDefault="00661B95" w:rsidP="00661B95">
      <w:r>
        <w:t>The meeting was adjourned at</w:t>
      </w:r>
      <w:r w:rsidR="00930CFB">
        <w:t xml:space="preserve"> 11:45 am</w:t>
      </w:r>
    </w:p>
    <w:p w:rsidR="00661B95" w:rsidRPr="00D2159A" w:rsidRDefault="00661B95" w:rsidP="00661B95">
      <w:pPr>
        <w:rPr>
          <w:b/>
        </w:rPr>
      </w:pPr>
      <w:r>
        <w:t>Next meeting:</w:t>
      </w:r>
      <w:r w:rsidR="00D2159A">
        <w:t xml:space="preserve">  </w:t>
      </w:r>
      <w:r w:rsidR="00D2159A">
        <w:rPr>
          <w:b/>
        </w:rPr>
        <w:t>March 11, 2011, 10:00 – 11:15</w:t>
      </w:r>
    </w:p>
    <w:p w:rsidR="00661B95" w:rsidRDefault="00661B95" w:rsidP="00661B95"/>
    <w:p w:rsidR="00661B95" w:rsidRDefault="00661B95" w:rsidP="00661B95">
      <w:r>
        <w:t>Respectfully submitted</w:t>
      </w:r>
    </w:p>
    <w:p w:rsidR="00661B95" w:rsidRPr="00661B95" w:rsidRDefault="00661B95" w:rsidP="00661B95">
      <w:r>
        <w:t>Luci Wymer, Recorder</w:t>
      </w:r>
    </w:p>
    <w:sectPr w:rsidR="00661B95" w:rsidRPr="00661B95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95"/>
    <w:rsid w:val="00020524"/>
    <w:rsid w:val="000F4CA5"/>
    <w:rsid w:val="00101EA1"/>
    <w:rsid w:val="00137403"/>
    <w:rsid w:val="00227D9F"/>
    <w:rsid w:val="002451BA"/>
    <w:rsid w:val="002679E8"/>
    <w:rsid w:val="003078BA"/>
    <w:rsid w:val="00395C19"/>
    <w:rsid w:val="004035E6"/>
    <w:rsid w:val="0041360E"/>
    <w:rsid w:val="00450120"/>
    <w:rsid w:val="00454D67"/>
    <w:rsid w:val="00554769"/>
    <w:rsid w:val="0059197D"/>
    <w:rsid w:val="005A368B"/>
    <w:rsid w:val="005E0FD1"/>
    <w:rsid w:val="00661B95"/>
    <w:rsid w:val="006655C2"/>
    <w:rsid w:val="006C1E06"/>
    <w:rsid w:val="007057C5"/>
    <w:rsid w:val="0072270E"/>
    <w:rsid w:val="00762A58"/>
    <w:rsid w:val="007A7C45"/>
    <w:rsid w:val="00803C0B"/>
    <w:rsid w:val="00815782"/>
    <w:rsid w:val="00831CA3"/>
    <w:rsid w:val="008677AA"/>
    <w:rsid w:val="00930CFB"/>
    <w:rsid w:val="00946DD8"/>
    <w:rsid w:val="009C0F06"/>
    <w:rsid w:val="009D552B"/>
    <w:rsid w:val="00A04371"/>
    <w:rsid w:val="00B223A2"/>
    <w:rsid w:val="00C20C64"/>
    <w:rsid w:val="00C653F5"/>
    <w:rsid w:val="00C84FAC"/>
    <w:rsid w:val="00CA5F51"/>
    <w:rsid w:val="00CB2728"/>
    <w:rsid w:val="00CF3C66"/>
    <w:rsid w:val="00D15EFF"/>
    <w:rsid w:val="00D2159A"/>
    <w:rsid w:val="00D847A1"/>
    <w:rsid w:val="00DA5FEF"/>
    <w:rsid w:val="00DE5ED4"/>
    <w:rsid w:val="00EC2CD8"/>
    <w:rsid w:val="00EE792F"/>
    <w:rsid w:val="00F67150"/>
    <w:rsid w:val="00F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2011-02-24T13:57:00Z</dcterms:created>
  <dcterms:modified xsi:type="dcterms:W3CDTF">2011-02-24T13:57:00Z</dcterms:modified>
</cp:coreProperties>
</file>