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5D4AC" w14:textId="5CEAB6BE" w:rsidR="00F841CB" w:rsidRPr="00511FEB" w:rsidRDefault="00F841CB" w:rsidP="00C827A7">
      <w:pPr>
        <w:autoSpaceDE w:val="0"/>
        <w:autoSpaceDN w:val="0"/>
        <w:adjustRightInd w:val="0"/>
        <w:spacing w:after="0" w:line="240" w:lineRule="auto"/>
        <w:rPr>
          <w:rFonts w:ascii="Times New Roman" w:hAnsi="Times New Roman" w:cs="Times New Roman"/>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4D1708">
        <w:rPr>
          <w:rFonts w:ascii="Arial" w:hAnsi="Arial" w:cs="Arial"/>
        </w:rPr>
        <w:t xml:space="preserve"> The purpose of this </w:t>
      </w:r>
      <w:r w:rsidR="004D1708" w:rsidRPr="00511FEB">
        <w:rPr>
          <w:rFonts w:ascii="Arial" w:hAnsi="Arial" w:cs="Arial"/>
        </w:rPr>
        <w:t>SOP is to</w:t>
      </w:r>
      <w:r w:rsidR="004D1708" w:rsidRPr="00511FEB">
        <w:rPr>
          <w:rFonts w:ascii="Arial" w:hAnsi="Arial" w:cs="Arial"/>
          <w:color w:val="000000"/>
        </w:rPr>
        <w:t xml:space="preserve"> describe th</w:t>
      </w:r>
      <w:r w:rsidR="00AA4C50" w:rsidRPr="00511FEB">
        <w:rPr>
          <w:rFonts w:ascii="Arial" w:hAnsi="Arial" w:cs="Arial"/>
          <w:color w:val="000000"/>
        </w:rPr>
        <w:t xml:space="preserve">e </w:t>
      </w:r>
      <w:r w:rsidR="00AA4C50" w:rsidRPr="00511FEB">
        <w:rPr>
          <w:rFonts w:ascii="Arial" w:hAnsi="Arial" w:cs="Arial"/>
        </w:rPr>
        <w:t>procedures followed by ke</w:t>
      </w:r>
      <w:r w:rsidR="00511FEB" w:rsidRPr="00511FEB">
        <w:rPr>
          <w:rFonts w:ascii="Arial" w:hAnsi="Arial" w:cs="Arial"/>
        </w:rPr>
        <w:t xml:space="preserve">y research personnel engaged in </w:t>
      </w:r>
      <w:r w:rsidR="004D3BE5">
        <w:rPr>
          <w:rFonts w:ascii="Arial" w:hAnsi="Arial" w:cs="Arial"/>
        </w:rPr>
        <w:t>clinical research at Kent State University</w:t>
      </w:r>
      <w:r w:rsidR="00511FEB" w:rsidRPr="00511FEB">
        <w:rPr>
          <w:rFonts w:ascii="Arial" w:hAnsi="Arial" w:cs="Arial"/>
        </w:rPr>
        <w:t xml:space="preserve"> during a close-out </w:t>
      </w:r>
      <w:r w:rsidR="00AA4C50" w:rsidRPr="00511FEB">
        <w:rPr>
          <w:rFonts w:ascii="Arial" w:hAnsi="Arial" w:cs="Arial"/>
        </w:rPr>
        <w:t>visit with a sponsor representative</w:t>
      </w:r>
      <w:r w:rsidR="00511FEB">
        <w:rPr>
          <w:rFonts w:ascii="Arial" w:hAnsi="Arial" w:cs="Arial"/>
        </w:rPr>
        <w:t xml:space="preserve"> from the time the monitor schedules the visit until all </w:t>
      </w:r>
      <w:r w:rsidR="00AE608E">
        <w:rPr>
          <w:rFonts w:ascii="Arial" w:hAnsi="Arial" w:cs="Arial"/>
        </w:rPr>
        <w:t xml:space="preserve">associated </w:t>
      </w:r>
      <w:r w:rsidR="00511FEB">
        <w:rPr>
          <w:rFonts w:ascii="Arial" w:hAnsi="Arial" w:cs="Arial"/>
        </w:rPr>
        <w:t>follow-up activities have been completed.</w:t>
      </w:r>
    </w:p>
    <w:p w14:paraId="49F5D4AD"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49F5D4AE" w14:textId="33716FD1" w:rsidR="00D769EC" w:rsidRPr="004D3BE5" w:rsidRDefault="00F841CB" w:rsidP="00C827A7">
      <w:pPr>
        <w:autoSpaceDE w:val="0"/>
        <w:autoSpaceDN w:val="0"/>
        <w:adjustRightInd w:val="0"/>
        <w:spacing w:after="0" w:line="240" w:lineRule="auto"/>
        <w:rPr>
          <w:rFonts w:ascii="Arial" w:hAnsi="Arial" w:cs="Arial"/>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This SOP applies to key research personnel involved in arranging, managing, participating in, and/or resolving outstanding items resulting from the study close-out visit.</w:t>
      </w:r>
    </w:p>
    <w:p w14:paraId="49F5D4AF"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49F5D4B0" w14:textId="77777777" w:rsidR="00D769EC" w:rsidRPr="00D769EC" w:rsidRDefault="00F841CB" w:rsidP="00C827A7">
      <w:pPr>
        <w:autoSpaceDE w:val="0"/>
        <w:autoSpaceDN w:val="0"/>
        <w:adjustRightInd w:val="0"/>
        <w:spacing w:after="0" w:line="240" w:lineRule="auto"/>
        <w:rPr>
          <w:rFonts w:ascii="Times New Roman" w:hAnsi="Times New Roman" w:cs="Times New Roman"/>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r w:rsidR="00511FEB" w:rsidRPr="00AA127A">
        <w:rPr>
          <w:rFonts w:ascii="Arial" w:hAnsi="Arial" w:cs="Arial"/>
        </w:rPr>
        <w:t>The Principal Inve</w:t>
      </w:r>
      <w:r w:rsidR="00511FEB">
        <w:rPr>
          <w:rFonts w:ascii="Arial" w:hAnsi="Arial" w:cs="Arial"/>
        </w:rPr>
        <w:t>stigator</w:t>
      </w:r>
      <w:r w:rsidR="007237B6">
        <w:rPr>
          <w:rFonts w:ascii="Arial" w:hAnsi="Arial" w:cs="Arial"/>
        </w:rPr>
        <w:t xml:space="preserve"> (PI), study coordinator, and/or</w:t>
      </w:r>
      <w:r w:rsidR="00545DCF">
        <w:rPr>
          <w:rFonts w:ascii="Arial" w:hAnsi="Arial" w:cs="Arial"/>
        </w:rPr>
        <w:t xml:space="preserve"> other designated key personnel are responsible for study close-out visits.</w:t>
      </w:r>
    </w:p>
    <w:p w14:paraId="49F5D4B1"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49F5D4B2" w14:textId="77777777" w:rsidR="00994C5C" w:rsidRDefault="00F841CB" w:rsidP="00C827A7">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49F5D4B3" w14:textId="77777777" w:rsidR="0000055F" w:rsidRDefault="0000055F" w:rsidP="00D769EC">
      <w:pPr>
        <w:tabs>
          <w:tab w:val="left" w:pos="2250"/>
        </w:tabs>
        <w:autoSpaceDE w:val="0"/>
        <w:autoSpaceDN w:val="0"/>
        <w:adjustRightInd w:val="0"/>
        <w:spacing w:after="0" w:line="240" w:lineRule="auto"/>
        <w:rPr>
          <w:rFonts w:ascii="Arial" w:hAnsi="Arial" w:cs="Arial"/>
        </w:rPr>
      </w:pPr>
    </w:p>
    <w:p w14:paraId="49F5D4B4" w14:textId="77777777" w:rsidR="009F42E5" w:rsidRDefault="00F940AC" w:rsidP="00C827A7">
      <w:pPr>
        <w:tabs>
          <w:tab w:val="left" w:pos="2250"/>
        </w:tabs>
        <w:autoSpaceDE w:val="0"/>
        <w:autoSpaceDN w:val="0"/>
        <w:adjustRightInd w:val="0"/>
        <w:spacing w:after="0" w:line="240" w:lineRule="auto"/>
        <w:rPr>
          <w:rFonts w:ascii="Arial" w:hAnsi="Arial" w:cs="Arial"/>
          <w:lang w:val="en"/>
        </w:rPr>
      </w:pPr>
      <w:r>
        <w:rPr>
          <w:rFonts w:ascii="Arial" w:hAnsi="Arial" w:cs="Arial"/>
          <w:b/>
        </w:rPr>
        <w:t>Case Report Form (CRF)</w:t>
      </w:r>
      <w:r w:rsidR="0000055F" w:rsidRPr="0000055F">
        <w:rPr>
          <w:rFonts w:ascii="Arial" w:hAnsi="Arial" w:cs="Arial"/>
          <w:b/>
        </w:rPr>
        <w:t xml:space="preserve">:  </w:t>
      </w:r>
      <w:r w:rsidR="00C04288" w:rsidRPr="00C04288">
        <w:rPr>
          <w:rFonts w:ascii="Arial" w:hAnsi="Arial" w:cs="Arial"/>
          <w:lang w:val="en"/>
        </w:rPr>
        <w:t xml:space="preserve">A paper or electronic questionnaire specifically used in clinical trial research. The Case Report Form is the tool used by the sponsor of the </w:t>
      </w:r>
      <w:r w:rsidR="00C04288">
        <w:rPr>
          <w:rFonts w:ascii="Arial" w:hAnsi="Arial" w:cs="Arial"/>
          <w:lang w:val="en"/>
        </w:rPr>
        <w:t xml:space="preserve">clinical trial </w:t>
      </w:r>
      <w:r w:rsidR="00C04288" w:rsidRPr="00C04288">
        <w:rPr>
          <w:rFonts w:ascii="Arial" w:hAnsi="Arial" w:cs="Arial"/>
          <w:lang w:val="en"/>
        </w:rPr>
        <w:t xml:space="preserve">to collect data from each participating site. All data on each patient participating in a clinical trial are held and/or documented in the CRF, including </w:t>
      </w:r>
      <w:r w:rsidR="00C04288">
        <w:rPr>
          <w:rFonts w:ascii="Arial" w:hAnsi="Arial" w:cs="Arial"/>
          <w:lang w:val="en"/>
        </w:rPr>
        <w:t>adverse events.</w:t>
      </w:r>
    </w:p>
    <w:p w14:paraId="49F5D4B5" w14:textId="77777777" w:rsidR="00AC215B" w:rsidRDefault="00AC215B" w:rsidP="00AC215B">
      <w:pPr>
        <w:autoSpaceDE w:val="0"/>
        <w:autoSpaceDN w:val="0"/>
        <w:adjustRightInd w:val="0"/>
        <w:spacing w:after="0" w:line="240" w:lineRule="auto"/>
        <w:ind w:hanging="2880"/>
        <w:rPr>
          <w:rFonts w:ascii="Arial" w:hAnsi="Arial" w:cs="Arial"/>
          <w:lang w:val="en"/>
        </w:rPr>
      </w:pPr>
    </w:p>
    <w:p w14:paraId="49F5D4B6" w14:textId="0A5A6E17" w:rsidR="00AC215B" w:rsidRPr="00942FFC" w:rsidRDefault="00AC215B" w:rsidP="00C827A7">
      <w:pPr>
        <w:autoSpaceDE w:val="0"/>
        <w:autoSpaceDN w:val="0"/>
        <w:adjustRightInd w:val="0"/>
        <w:spacing w:after="0" w:line="240" w:lineRule="auto"/>
        <w:ind w:hanging="1350"/>
        <w:rPr>
          <w:rFonts w:ascii="Arial" w:hAnsi="Arial" w:cs="Arial"/>
          <w:b/>
          <w:lang w:val="en"/>
        </w:rPr>
      </w:pPr>
      <w:r>
        <w:rPr>
          <w:rFonts w:ascii="Arial" w:hAnsi="Arial" w:cs="Arial"/>
          <w:lang w:val="en"/>
        </w:rPr>
        <w:t xml:space="preserve">            </w:t>
      </w:r>
      <w:r w:rsidR="00942FFC">
        <w:rPr>
          <w:rFonts w:ascii="Arial" w:hAnsi="Arial" w:cs="Arial"/>
          <w:lang w:val="en"/>
        </w:rPr>
        <w:t xml:space="preserve">         </w:t>
      </w:r>
      <w:r w:rsidR="00C827A7">
        <w:rPr>
          <w:rFonts w:ascii="Arial" w:hAnsi="Arial" w:cs="Arial"/>
          <w:lang w:val="en"/>
        </w:rPr>
        <w:t xml:space="preserve"> </w:t>
      </w:r>
      <w:r w:rsidR="00942FFC" w:rsidRPr="00942FFC">
        <w:rPr>
          <w:rFonts w:ascii="Arial" w:hAnsi="Arial" w:cs="Arial"/>
          <w:b/>
          <w:color w:val="000000"/>
        </w:rPr>
        <w:t>Investigational Product</w:t>
      </w:r>
      <w:r w:rsidR="00942FFC">
        <w:rPr>
          <w:rFonts w:ascii="Arial" w:hAnsi="Arial" w:cs="Arial"/>
          <w:b/>
          <w:color w:val="000000"/>
        </w:rPr>
        <w:t xml:space="preserve"> (IP)</w:t>
      </w:r>
      <w:r w:rsidR="00942FFC" w:rsidRPr="00942FFC">
        <w:rPr>
          <w:rFonts w:ascii="Arial" w:hAnsi="Arial" w:cs="Arial"/>
          <w:b/>
          <w:color w:val="000000"/>
        </w:rPr>
        <w:t>:</w:t>
      </w:r>
      <w:r w:rsidR="00942FFC">
        <w:rPr>
          <w:rFonts w:ascii="Arial" w:hAnsi="Arial" w:cs="Arial"/>
          <w:b/>
          <w:color w:val="000000"/>
        </w:rPr>
        <w:t xml:space="preserve"> </w:t>
      </w:r>
      <w:r w:rsidR="00942FFC" w:rsidRPr="0082358C">
        <w:rPr>
          <w:rFonts w:ascii="Arial" w:hAnsi="Arial" w:cs="Arial"/>
          <w:lang w:val="en"/>
        </w:rPr>
        <w:t xml:space="preserve">A </w:t>
      </w:r>
      <w:hyperlink r:id="rId11" w:tooltip="Pharmaceutical" w:history="1">
        <w:r w:rsidR="00942FFC" w:rsidRPr="0082358C">
          <w:rPr>
            <w:rStyle w:val="Hyperlink"/>
            <w:rFonts w:ascii="Arial" w:hAnsi="Arial" w:cs="Arial"/>
            <w:color w:val="auto"/>
            <w:u w:val="none"/>
            <w:lang w:val="en"/>
          </w:rPr>
          <w:t>pharmaceutical</w:t>
        </w:r>
      </w:hyperlink>
      <w:r w:rsidR="00942FFC" w:rsidRPr="0082358C">
        <w:rPr>
          <w:rFonts w:ascii="Arial" w:hAnsi="Arial" w:cs="Arial"/>
          <w:lang w:val="en"/>
        </w:rPr>
        <w:t xml:space="preserve"> form of an active ingredient or </w:t>
      </w:r>
      <w:hyperlink r:id="rId12" w:tooltip="Placebo" w:history="1">
        <w:r w:rsidR="00942FFC" w:rsidRPr="0082358C">
          <w:rPr>
            <w:rStyle w:val="Hyperlink"/>
            <w:rFonts w:ascii="Arial" w:hAnsi="Arial" w:cs="Arial"/>
            <w:color w:val="auto"/>
            <w:u w:val="none"/>
            <w:lang w:val="en"/>
          </w:rPr>
          <w:t>placebo</w:t>
        </w:r>
      </w:hyperlink>
      <w:r w:rsidR="00942FFC">
        <w:rPr>
          <w:rFonts w:ascii="Arial" w:hAnsi="Arial" w:cs="Arial"/>
          <w:lang w:val="en"/>
        </w:rPr>
        <w:t xml:space="preserve"> being tested </w:t>
      </w:r>
      <w:r w:rsidR="00942FFC" w:rsidRPr="0082358C">
        <w:rPr>
          <w:rFonts w:ascii="Arial" w:hAnsi="Arial" w:cs="Arial"/>
          <w:lang w:val="en"/>
        </w:rPr>
        <w:t xml:space="preserve">or used as a reference in a </w:t>
      </w:r>
      <w:hyperlink r:id="rId13" w:tooltip="Clinical trial" w:history="1">
        <w:r w:rsidR="00942FFC" w:rsidRPr="0082358C">
          <w:rPr>
            <w:rStyle w:val="Hyperlink"/>
            <w:rFonts w:ascii="Arial" w:hAnsi="Arial" w:cs="Arial"/>
            <w:color w:val="auto"/>
            <w:u w:val="none"/>
            <w:lang w:val="en"/>
          </w:rPr>
          <w:t>clinical trial</w:t>
        </w:r>
      </w:hyperlink>
      <w:r w:rsidR="00942FFC" w:rsidRPr="0082358C">
        <w:rPr>
          <w:rFonts w:ascii="Arial" w:hAnsi="Arial" w:cs="Arial"/>
          <w:lang w:val="en"/>
        </w:rPr>
        <w:t>.</w:t>
      </w:r>
    </w:p>
    <w:p w14:paraId="49F5D4B7" w14:textId="77777777" w:rsidR="009F42E5" w:rsidRDefault="009F42E5" w:rsidP="009F42E5">
      <w:pPr>
        <w:tabs>
          <w:tab w:val="left" w:pos="2250"/>
        </w:tabs>
        <w:autoSpaceDE w:val="0"/>
        <w:autoSpaceDN w:val="0"/>
        <w:adjustRightInd w:val="0"/>
        <w:spacing w:after="0" w:line="240" w:lineRule="auto"/>
        <w:ind w:left="-180"/>
        <w:rPr>
          <w:rFonts w:ascii="Arial" w:hAnsi="Arial" w:cs="Arial"/>
          <w:lang w:val="en"/>
        </w:rPr>
      </w:pPr>
    </w:p>
    <w:p w14:paraId="49F5D4B8" w14:textId="3A8F209C" w:rsidR="00C04288" w:rsidRDefault="009F42E5" w:rsidP="00C827A7">
      <w:pPr>
        <w:tabs>
          <w:tab w:val="left" w:pos="2250"/>
        </w:tabs>
        <w:autoSpaceDE w:val="0"/>
        <w:autoSpaceDN w:val="0"/>
        <w:adjustRightInd w:val="0"/>
        <w:spacing w:after="0" w:line="240" w:lineRule="auto"/>
        <w:rPr>
          <w:rFonts w:ascii="TimesNewRomanPSMT" w:hAnsi="TimesNewRomanPSMT" w:cs="TimesNewRomanPSMT"/>
        </w:rPr>
      </w:pPr>
      <w:r w:rsidRPr="009F42E5">
        <w:rPr>
          <w:rFonts w:ascii="Arial" w:hAnsi="Arial" w:cs="Arial"/>
          <w:b/>
          <w:lang w:val="en"/>
        </w:rPr>
        <w:t>Key Personnel:</w:t>
      </w:r>
      <w:r>
        <w:rPr>
          <w:rFonts w:ascii="Arial" w:hAnsi="Arial" w:cs="Arial"/>
          <w:lang w:val="en"/>
        </w:rPr>
        <w:t xml:space="preserve"> </w:t>
      </w:r>
      <w:r w:rsidRPr="00545DCF">
        <w:rPr>
          <w:rFonts w:ascii="Arial" w:hAnsi="Arial" w:cs="Arial"/>
        </w:rPr>
        <w:t>An individual designated by the principal investigator who is</w:t>
      </w:r>
      <w:r w:rsidRPr="00545DCF">
        <w:rPr>
          <w:rFonts w:ascii="Arial" w:hAnsi="Arial" w:cs="Arial"/>
          <w:lang w:val="en"/>
        </w:rPr>
        <w:t xml:space="preserve"> </w:t>
      </w:r>
      <w:r w:rsidRPr="00545DCF">
        <w:rPr>
          <w:rFonts w:ascii="Arial" w:hAnsi="Arial" w:cs="Arial"/>
        </w:rPr>
        <w:t>knowledgeable about the research study. This may include investigators,</w:t>
      </w:r>
      <w:r w:rsidRPr="00545DCF">
        <w:rPr>
          <w:rFonts w:ascii="Arial" w:hAnsi="Arial" w:cs="Arial"/>
          <w:lang w:val="en"/>
        </w:rPr>
        <w:t xml:space="preserve"> </w:t>
      </w:r>
      <w:r w:rsidRPr="00545DCF">
        <w:rPr>
          <w:rFonts w:ascii="Arial" w:hAnsi="Arial" w:cs="Arial"/>
        </w:rPr>
        <w:t>coordinators, assistants, residents, fellows, students working on the</w:t>
      </w:r>
      <w:r w:rsidRPr="00545DCF">
        <w:rPr>
          <w:rFonts w:ascii="Arial" w:hAnsi="Arial" w:cs="Arial"/>
          <w:lang w:val="en"/>
        </w:rPr>
        <w:t xml:space="preserve"> </w:t>
      </w:r>
      <w:r w:rsidRPr="00545DCF">
        <w:rPr>
          <w:rFonts w:ascii="Arial" w:hAnsi="Arial" w:cs="Arial"/>
        </w:rPr>
        <w:t>research, administrators or managers who oversee the research, and</w:t>
      </w:r>
      <w:r w:rsidRPr="00545DCF">
        <w:rPr>
          <w:rFonts w:ascii="Arial" w:hAnsi="Arial" w:cs="Arial"/>
          <w:lang w:val="en"/>
        </w:rPr>
        <w:t xml:space="preserve"> </w:t>
      </w:r>
      <w:r w:rsidRPr="00545DCF">
        <w:rPr>
          <w:rFonts w:ascii="Arial" w:hAnsi="Arial" w:cs="Arial"/>
        </w:rPr>
        <w:t>external individuals associated by agreement or contract with USF Health</w:t>
      </w:r>
      <w:r w:rsidRPr="00545DCF">
        <w:rPr>
          <w:rFonts w:ascii="Arial" w:hAnsi="Arial" w:cs="Arial"/>
          <w:lang w:val="en"/>
        </w:rPr>
        <w:t xml:space="preserve"> </w:t>
      </w:r>
      <w:r w:rsidRPr="00545DCF">
        <w:rPr>
          <w:rFonts w:ascii="Arial" w:hAnsi="Arial" w:cs="Arial"/>
        </w:rPr>
        <w:t>who are involved in conducting the research. Individuals providing</w:t>
      </w:r>
      <w:r w:rsidRPr="00545DCF">
        <w:rPr>
          <w:rFonts w:ascii="Arial" w:hAnsi="Arial" w:cs="Arial"/>
          <w:lang w:val="en"/>
        </w:rPr>
        <w:t xml:space="preserve"> </w:t>
      </w:r>
      <w:r w:rsidRPr="00545DCF">
        <w:rPr>
          <w:rFonts w:ascii="Arial" w:hAnsi="Arial" w:cs="Arial"/>
        </w:rPr>
        <w:t>services in the course of their position (e.g., pharmacist,</w:t>
      </w:r>
      <w:r w:rsidR="00545DCF" w:rsidRPr="00545DCF">
        <w:rPr>
          <w:rFonts w:ascii="Arial" w:hAnsi="Arial" w:cs="Arial"/>
          <w:lang w:val="en"/>
        </w:rPr>
        <w:t xml:space="preserve"> </w:t>
      </w:r>
      <w:r w:rsidRPr="00545DCF">
        <w:rPr>
          <w:rFonts w:ascii="Arial" w:hAnsi="Arial" w:cs="Arial"/>
        </w:rPr>
        <w:t>biostatistician) are not considered key personnel unless involved in key</w:t>
      </w:r>
      <w:r w:rsidR="00545DCF" w:rsidRPr="00545DCF">
        <w:rPr>
          <w:rFonts w:ascii="Arial" w:hAnsi="Arial" w:cs="Arial"/>
          <w:lang w:val="en"/>
        </w:rPr>
        <w:t xml:space="preserve"> </w:t>
      </w:r>
      <w:r w:rsidRPr="00545DCF">
        <w:rPr>
          <w:rFonts w:ascii="Arial" w:hAnsi="Arial" w:cs="Arial"/>
        </w:rPr>
        <w:t>aspects of the research such as prot</w:t>
      </w:r>
      <w:r w:rsidR="00AE608E">
        <w:rPr>
          <w:rFonts w:ascii="Arial" w:hAnsi="Arial" w:cs="Arial"/>
        </w:rPr>
        <w:t>ocol development, consenting,</w:t>
      </w:r>
      <w:r w:rsidR="00545DCF" w:rsidRPr="00545DCF">
        <w:rPr>
          <w:rFonts w:ascii="Arial" w:hAnsi="Arial" w:cs="Arial"/>
          <w:lang w:val="en"/>
        </w:rPr>
        <w:t xml:space="preserve"> </w:t>
      </w:r>
      <w:r w:rsidRPr="00545DCF">
        <w:rPr>
          <w:rFonts w:ascii="Arial" w:hAnsi="Arial" w:cs="Arial"/>
        </w:rPr>
        <w:t>blinding procedures</w:t>
      </w:r>
      <w:r w:rsidR="00AE608E">
        <w:rPr>
          <w:rFonts w:ascii="Arial" w:hAnsi="Arial" w:cs="Arial"/>
        </w:rPr>
        <w:t xml:space="preserve"> etc</w:t>
      </w:r>
      <w:r w:rsidRPr="00545DCF">
        <w:rPr>
          <w:rFonts w:ascii="Arial" w:hAnsi="Arial" w:cs="Arial"/>
        </w:rPr>
        <w:t>.</w:t>
      </w:r>
    </w:p>
    <w:p w14:paraId="49F5D4B9" w14:textId="77777777" w:rsidR="00545DCF" w:rsidRPr="00545DCF" w:rsidRDefault="00545DCF" w:rsidP="00545DCF">
      <w:pPr>
        <w:tabs>
          <w:tab w:val="left" w:pos="2250"/>
        </w:tabs>
        <w:autoSpaceDE w:val="0"/>
        <w:autoSpaceDN w:val="0"/>
        <w:adjustRightInd w:val="0"/>
        <w:spacing w:after="0" w:line="240" w:lineRule="auto"/>
        <w:ind w:left="-180"/>
        <w:rPr>
          <w:rFonts w:ascii="Arial" w:hAnsi="Arial" w:cs="Arial"/>
          <w:lang w:val="en"/>
        </w:rPr>
      </w:pPr>
    </w:p>
    <w:p w14:paraId="49F5D4BA" w14:textId="1FE2CBE7" w:rsidR="0000055F" w:rsidRDefault="00A60046" w:rsidP="00C827A7">
      <w:pPr>
        <w:tabs>
          <w:tab w:val="left" w:pos="2250"/>
        </w:tabs>
        <w:autoSpaceDE w:val="0"/>
        <w:autoSpaceDN w:val="0"/>
        <w:adjustRightInd w:val="0"/>
        <w:spacing w:after="0" w:line="240" w:lineRule="auto"/>
        <w:rPr>
          <w:rFonts w:ascii="Arial" w:hAnsi="Arial" w:cs="Arial"/>
        </w:rPr>
      </w:pPr>
      <w:r>
        <w:rPr>
          <w:rFonts w:ascii="Arial" w:hAnsi="Arial" w:cs="Arial"/>
          <w:b/>
        </w:rPr>
        <w:t xml:space="preserve">Monitoring: </w:t>
      </w:r>
      <w:r>
        <w:rPr>
          <w:rFonts w:ascii="Arial" w:hAnsi="Arial" w:cs="Arial"/>
        </w:rPr>
        <w:t xml:space="preserve"> The act of overseeing the progress of a clinical trial, and of ensuring that</w:t>
      </w:r>
      <w:r w:rsidR="00AE608E">
        <w:rPr>
          <w:rFonts w:ascii="Arial" w:hAnsi="Arial" w:cs="Arial"/>
        </w:rPr>
        <w:t xml:space="preserve"> it</w:t>
      </w:r>
      <w:r>
        <w:rPr>
          <w:rFonts w:ascii="Arial" w:hAnsi="Arial" w:cs="Arial"/>
        </w:rPr>
        <w:t xml:space="preserve"> is conducted, recorded, and reported in accordance with the protocol, Standard Operating Procedures (SOPs), Good Clinical Practice (GCP), and the applicable regulatory requirement(s).</w:t>
      </w:r>
    </w:p>
    <w:p w14:paraId="49F5D4BB" w14:textId="77777777" w:rsidR="00A60046" w:rsidRPr="00A60046" w:rsidRDefault="00A60046" w:rsidP="005B44EE">
      <w:pPr>
        <w:tabs>
          <w:tab w:val="left" w:pos="2250"/>
        </w:tabs>
        <w:autoSpaceDE w:val="0"/>
        <w:autoSpaceDN w:val="0"/>
        <w:adjustRightInd w:val="0"/>
        <w:spacing w:after="0" w:line="240" w:lineRule="auto"/>
        <w:ind w:left="-180"/>
        <w:rPr>
          <w:rFonts w:ascii="Arial" w:hAnsi="Arial" w:cs="Arial"/>
          <w:lang w:val="en"/>
        </w:rPr>
      </w:pPr>
    </w:p>
    <w:p w14:paraId="49F5D4BC" w14:textId="715F2C0C" w:rsidR="0000055F" w:rsidRDefault="0000055F" w:rsidP="00C827A7">
      <w:pPr>
        <w:tabs>
          <w:tab w:val="left" w:pos="2250"/>
        </w:tabs>
        <w:autoSpaceDE w:val="0"/>
        <w:autoSpaceDN w:val="0"/>
        <w:adjustRightInd w:val="0"/>
        <w:spacing w:after="0" w:line="240" w:lineRule="auto"/>
        <w:rPr>
          <w:rFonts w:ascii="Arial" w:hAnsi="Arial" w:cs="Arial"/>
          <w:lang w:val="en"/>
        </w:rPr>
      </w:pPr>
      <w:r w:rsidRPr="0000055F">
        <w:rPr>
          <w:rFonts w:ascii="Arial" w:hAnsi="Arial" w:cs="Arial"/>
          <w:b/>
          <w:lang w:val="en"/>
        </w:rPr>
        <w:t>Regulatory Binder</w:t>
      </w:r>
      <w:r>
        <w:rPr>
          <w:rFonts w:ascii="Arial" w:hAnsi="Arial" w:cs="Arial"/>
          <w:lang w:val="en"/>
        </w:rPr>
        <w:t>:</w:t>
      </w:r>
      <w:r w:rsidR="00F00C2F">
        <w:rPr>
          <w:rFonts w:ascii="Arial" w:hAnsi="Arial" w:cs="Arial"/>
          <w:lang w:val="en"/>
        </w:rPr>
        <w:t xml:space="preserve"> Method used to organize/store essential study documents</w:t>
      </w:r>
      <w:r w:rsidR="00AE608E">
        <w:rPr>
          <w:rFonts w:ascii="Arial" w:hAnsi="Arial" w:cs="Arial"/>
          <w:lang w:val="en"/>
        </w:rPr>
        <w:t xml:space="preserve">. </w:t>
      </w:r>
      <w:r w:rsidR="00AD1D40">
        <w:rPr>
          <w:rFonts w:ascii="Arial" w:hAnsi="Arial" w:cs="Arial"/>
          <w:lang w:val="en"/>
        </w:rPr>
        <w:t>The regulatory binder is often the first document reviewed during audits and inspections.</w:t>
      </w:r>
    </w:p>
    <w:p w14:paraId="49F5D4BD" w14:textId="77777777" w:rsidR="002718E1" w:rsidRDefault="002718E1" w:rsidP="005B44EE">
      <w:pPr>
        <w:tabs>
          <w:tab w:val="left" w:pos="2250"/>
        </w:tabs>
        <w:autoSpaceDE w:val="0"/>
        <w:autoSpaceDN w:val="0"/>
        <w:adjustRightInd w:val="0"/>
        <w:spacing w:after="0" w:line="240" w:lineRule="auto"/>
        <w:ind w:left="-180"/>
        <w:rPr>
          <w:rFonts w:ascii="Arial" w:hAnsi="Arial" w:cs="Arial"/>
          <w:lang w:val="en"/>
        </w:rPr>
      </w:pPr>
    </w:p>
    <w:p w14:paraId="49F5D4C5" w14:textId="77777777" w:rsidR="00A33DC7" w:rsidRDefault="00E565D9" w:rsidP="00B76603">
      <w:pPr>
        <w:autoSpaceDE w:val="0"/>
        <w:autoSpaceDN w:val="0"/>
        <w:adjustRightInd w:val="0"/>
        <w:spacing w:before="11" w:after="0" w:line="252" w:lineRule="auto"/>
        <w:ind w:right="353"/>
        <w:rPr>
          <w:rFonts w:ascii="Arial" w:hAnsi="Arial" w:cs="Arial"/>
          <w:b/>
          <w:bCs/>
          <w:spacing w:val="2"/>
          <w:w w:val="103"/>
        </w:rPr>
      </w:pPr>
      <w:r w:rsidRPr="00A33DC7">
        <w:rPr>
          <w:rFonts w:ascii="Arial" w:hAnsi="Arial" w:cs="Arial"/>
          <w:b/>
          <w:bCs/>
          <w:spacing w:val="2"/>
          <w:w w:val="103"/>
        </w:rPr>
        <w:t xml:space="preserve">PROCEDURE: </w:t>
      </w:r>
    </w:p>
    <w:p w14:paraId="49F5D4C6" w14:textId="77777777" w:rsidR="00AC215B" w:rsidRPr="00AC215B" w:rsidRDefault="00AC215B" w:rsidP="00AC215B">
      <w:pPr>
        <w:autoSpaceDE w:val="0"/>
        <w:autoSpaceDN w:val="0"/>
        <w:adjustRightInd w:val="0"/>
        <w:spacing w:after="0" w:line="240" w:lineRule="auto"/>
        <w:rPr>
          <w:rFonts w:ascii="Arial" w:hAnsi="Arial" w:cs="Arial"/>
          <w:b/>
          <w:color w:val="000000"/>
        </w:rPr>
      </w:pPr>
    </w:p>
    <w:p w14:paraId="49F5D4C7" w14:textId="77777777" w:rsidR="00D0216B" w:rsidRPr="00D0216B" w:rsidRDefault="00D0216B" w:rsidP="00AC215B">
      <w:pPr>
        <w:pStyle w:val="ListParagraph"/>
        <w:numPr>
          <w:ilvl w:val="0"/>
          <w:numId w:val="27"/>
        </w:numPr>
        <w:autoSpaceDE w:val="0"/>
        <w:autoSpaceDN w:val="0"/>
        <w:adjustRightInd w:val="0"/>
        <w:spacing w:after="0" w:line="240" w:lineRule="auto"/>
        <w:rPr>
          <w:rFonts w:ascii="Arial" w:hAnsi="Arial" w:cs="Arial"/>
          <w:b/>
          <w:color w:val="000000"/>
        </w:rPr>
      </w:pPr>
      <w:r w:rsidRPr="00D0216B">
        <w:rPr>
          <w:rFonts w:ascii="Arial" w:hAnsi="Arial" w:cs="Arial"/>
          <w:b/>
          <w:color w:val="000000"/>
        </w:rPr>
        <w:t>Preparing the Study Close-Out Visit</w:t>
      </w:r>
      <w:r w:rsidR="00AC215B" w:rsidRPr="00D0216B">
        <w:rPr>
          <w:rFonts w:ascii="Arial" w:hAnsi="Arial" w:cs="Arial"/>
          <w:b/>
          <w:bCs/>
          <w:color w:val="000000"/>
        </w:rPr>
        <w:t xml:space="preserve">: </w:t>
      </w:r>
    </w:p>
    <w:p w14:paraId="49F5D4C8" w14:textId="77777777" w:rsidR="00D0216B" w:rsidRPr="00B76603" w:rsidRDefault="00D0216B"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Pr>
          <w:rFonts w:ascii="Arial" w:hAnsi="Arial" w:cs="Arial"/>
          <w:color w:val="000000"/>
        </w:rPr>
        <w:t>A</w:t>
      </w:r>
      <w:r w:rsidR="00AC215B" w:rsidRPr="00D0216B">
        <w:rPr>
          <w:rFonts w:ascii="Arial" w:hAnsi="Arial" w:cs="Arial"/>
          <w:color w:val="000000"/>
        </w:rPr>
        <w:t xml:space="preserve">fter the last patient has completed all scheduled visits associated with the study, arrange a mutually convenient date and time for the study monitor </w:t>
      </w:r>
      <w:r>
        <w:rPr>
          <w:rFonts w:ascii="Arial" w:hAnsi="Arial" w:cs="Arial"/>
          <w:color w:val="000000"/>
        </w:rPr>
        <w:t>to conduct the study close-out visit.</w:t>
      </w:r>
    </w:p>
    <w:p w14:paraId="458C9E91" w14:textId="77777777" w:rsidR="00B76603" w:rsidRDefault="00B76603" w:rsidP="00B76603">
      <w:pPr>
        <w:autoSpaceDE w:val="0"/>
        <w:autoSpaceDN w:val="0"/>
        <w:adjustRightInd w:val="0"/>
        <w:spacing w:after="0" w:line="240" w:lineRule="auto"/>
        <w:ind w:left="900"/>
        <w:rPr>
          <w:rFonts w:ascii="Arial" w:hAnsi="Arial" w:cs="Arial"/>
          <w:b/>
          <w:color w:val="000000"/>
        </w:rPr>
      </w:pPr>
    </w:p>
    <w:p w14:paraId="646C0601" w14:textId="77777777" w:rsidR="00B76603" w:rsidRPr="004D5448" w:rsidRDefault="00B76603" w:rsidP="00B76603">
      <w:pPr>
        <w:autoSpaceDE w:val="0"/>
        <w:autoSpaceDN w:val="0"/>
        <w:adjustRightInd w:val="0"/>
        <w:spacing w:after="0" w:line="240" w:lineRule="auto"/>
        <w:rPr>
          <w:rFonts w:ascii="Arial" w:hAnsi="Arial" w:cs="Arial"/>
          <w:b/>
          <w:color w:val="000000"/>
        </w:rPr>
      </w:pPr>
      <w:r w:rsidRPr="004D5448">
        <w:rPr>
          <w:rFonts w:ascii="Arial" w:hAnsi="Arial" w:cs="Arial"/>
          <w:b/>
          <w:bCs/>
          <w:spacing w:val="2"/>
          <w:w w:val="103"/>
        </w:rPr>
        <w:t>PROCEDURE</w:t>
      </w:r>
      <w:r>
        <w:rPr>
          <w:rFonts w:ascii="Arial" w:hAnsi="Arial" w:cs="Arial"/>
          <w:b/>
          <w:bCs/>
          <w:spacing w:val="2"/>
          <w:w w:val="103"/>
        </w:rPr>
        <w:t xml:space="preserve"> (cont.)</w:t>
      </w:r>
      <w:r w:rsidRPr="004D5448">
        <w:rPr>
          <w:rFonts w:ascii="Arial" w:hAnsi="Arial" w:cs="Arial"/>
          <w:b/>
          <w:bCs/>
          <w:spacing w:val="2"/>
          <w:w w:val="103"/>
        </w:rPr>
        <w:t xml:space="preserve">: </w:t>
      </w:r>
    </w:p>
    <w:p w14:paraId="3EABEB3B" w14:textId="77777777" w:rsidR="00B76603" w:rsidRPr="00B76603" w:rsidRDefault="00B76603" w:rsidP="00B76603">
      <w:pPr>
        <w:autoSpaceDE w:val="0"/>
        <w:autoSpaceDN w:val="0"/>
        <w:adjustRightInd w:val="0"/>
        <w:spacing w:after="0" w:line="240" w:lineRule="auto"/>
        <w:ind w:left="900"/>
        <w:rPr>
          <w:rFonts w:ascii="Arial" w:hAnsi="Arial" w:cs="Arial"/>
          <w:b/>
          <w:color w:val="000000"/>
        </w:rPr>
      </w:pPr>
    </w:p>
    <w:p w14:paraId="49F5D4C9" w14:textId="6B29C09E" w:rsidR="009E7251" w:rsidRPr="00952B23" w:rsidRDefault="00D0216B"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sidRPr="009E7251">
        <w:rPr>
          <w:rFonts w:ascii="Arial" w:hAnsi="Arial" w:cs="Arial"/>
          <w:color w:val="000000"/>
        </w:rPr>
        <w:t xml:space="preserve">Request a visit agenda from the monitor </w:t>
      </w:r>
      <w:r w:rsidR="00AC215B" w:rsidRPr="009E7251">
        <w:rPr>
          <w:rFonts w:ascii="Arial" w:hAnsi="Arial" w:cs="Arial"/>
          <w:color w:val="000000"/>
        </w:rPr>
        <w:t>describing what is expected, what needs to be accomplished before visit t</w:t>
      </w:r>
      <w:r w:rsidRPr="009E7251">
        <w:rPr>
          <w:rFonts w:ascii="Arial" w:hAnsi="Arial" w:cs="Arial"/>
          <w:color w:val="000000"/>
        </w:rPr>
        <w:t>akes place and to ensure that key personnel (pharmacists and or PI)</w:t>
      </w:r>
      <w:r w:rsidR="009E7251" w:rsidRPr="009E7251">
        <w:rPr>
          <w:rFonts w:ascii="Arial" w:hAnsi="Arial" w:cs="Arial"/>
          <w:color w:val="000000"/>
        </w:rPr>
        <w:t xml:space="preserve"> will be available</w:t>
      </w:r>
      <w:r w:rsidR="00AE608E">
        <w:rPr>
          <w:rFonts w:ascii="Arial" w:hAnsi="Arial" w:cs="Arial"/>
          <w:color w:val="000000"/>
        </w:rPr>
        <w:t>,</w:t>
      </w:r>
      <w:r w:rsidR="009E7251" w:rsidRPr="009E7251">
        <w:rPr>
          <w:rFonts w:ascii="Arial" w:hAnsi="Arial" w:cs="Arial"/>
          <w:color w:val="000000"/>
        </w:rPr>
        <w:t xml:space="preserve"> if applicable</w:t>
      </w:r>
      <w:r w:rsidR="00AC215B" w:rsidRPr="009E7251">
        <w:rPr>
          <w:rFonts w:ascii="Arial" w:hAnsi="Arial" w:cs="Arial"/>
          <w:color w:val="000000"/>
        </w:rPr>
        <w:t xml:space="preserve">. </w:t>
      </w:r>
    </w:p>
    <w:p w14:paraId="292C2E1A" w14:textId="1EF156A4" w:rsidR="00952B23" w:rsidRPr="009E7251" w:rsidRDefault="00952B23"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Pr>
          <w:rFonts w:ascii="Arial" w:hAnsi="Arial" w:cs="Arial"/>
          <w:color w:val="000000"/>
        </w:rPr>
        <w:t>Complete a study close- out checklist (Appendix W)</w:t>
      </w:r>
    </w:p>
    <w:p w14:paraId="49F5D4CA" w14:textId="77777777" w:rsidR="009E7251" w:rsidRPr="009E7251" w:rsidRDefault="00AC215B"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sidRPr="009E7251">
        <w:rPr>
          <w:rFonts w:ascii="Arial" w:hAnsi="Arial" w:cs="Arial"/>
          <w:color w:val="000000"/>
        </w:rPr>
        <w:t>Ensure that all regulatory documentation and case report forms</w:t>
      </w:r>
      <w:r w:rsidR="009E7251" w:rsidRPr="009E7251">
        <w:rPr>
          <w:rFonts w:ascii="Arial" w:hAnsi="Arial" w:cs="Arial"/>
          <w:color w:val="000000"/>
        </w:rPr>
        <w:t xml:space="preserve"> (CRFs) not previously monitored are completed and ready for review. </w:t>
      </w:r>
      <w:r w:rsidRPr="009E7251">
        <w:rPr>
          <w:rFonts w:ascii="Arial" w:hAnsi="Arial" w:cs="Arial"/>
          <w:color w:val="000000"/>
        </w:rPr>
        <w:t xml:space="preserve"> </w:t>
      </w:r>
    </w:p>
    <w:p w14:paraId="49F5D4CB" w14:textId="77777777" w:rsidR="009E7251" w:rsidRPr="009E7251" w:rsidRDefault="00AC215B"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sidRPr="009E7251">
        <w:rPr>
          <w:rFonts w:ascii="Arial" w:hAnsi="Arial" w:cs="Arial"/>
          <w:color w:val="000000"/>
        </w:rPr>
        <w:t>Ensure that all data queries received to date have been resolved and tha</w:t>
      </w:r>
      <w:r w:rsidR="009E7251" w:rsidRPr="009E7251">
        <w:rPr>
          <w:rFonts w:ascii="Arial" w:hAnsi="Arial" w:cs="Arial"/>
          <w:color w:val="000000"/>
        </w:rPr>
        <w:t>t the database has been locked.</w:t>
      </w:r>
    </w:p>
    <w:p w14:paraId="49F5D4CC" w14:textId="7A1C893D" w:rsidR="00AC215B" w:rsidRPr="00AB055E" w:rsidRDefault="00AB055E"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Pr>
          <w:rFonts w:ascii="Arial" w:hAnsi="Arial" w:cs="Arial"/>
          <w:color w:val="000000"/>
        </w:rPr>
        <w:t>Inventory</w:t>
      </w:r>
      <w:r w:rsidR="009E7251">
        <w:rPr>
          <w:rFonts w:ascii="Arial" w:hAnsi="Arial" w:cs="Arial"/>
          <w:color w:val="000000"/>
        </w:rPr>
        <w:t xml:space="preserve"> investigational product</w:t>
      </w:r>
      <w:r>
        <w:rPr>
          <w:rFonts w:ascii="Arial" w:hAnsi="Arial" w:cs="Arial"/>
          <w:color w:val="000000"/>
        </w:rPr>
        <w:t xml:space="preserve"> (IP)</w:t>
      </w:r>
      <w:r w:rsidR="009E7251">
        <w:rPr>
          <w:rFonts w:ascii="Arial" w:hAnsi="Arial" w:cs="Arial"/>
          <w:color w:val="000000"/>
        </w:rPr>
        <w:t xml:space="preserve">/ test article </w:t>
      </w:r>
      <w:r>
        <w:rPr>
          <w:rFonts w:ascii="Arial" w:hAnsi="Arial" w:cs="Arial"/>
          <w:color w:val="000000"/>
        </w:rPr>
        <w:t>supply and complete final accountability records</w:t>
      </w:r>
      <w:r w:rsidR="00AC215B" w:rsidRPr="009E7251">
        <w:rPr>
          <w:rFonts w:ascii="Arial" w:hAnsi="Arial" w:cs="Arial"/>
          <w:color w:val="000000"/>
        </w:rPr>
        <w:t xml:space="preserve">. </w:t>
      </w:r>
      <w:r w:rsidR="004D5448">
        <w:rPr>
          <w:rFonts w:ascii="Arial" w:hAnsi="Arial" w:cs="Arial"/>
          <w:color w:val="000000"/>
        </w:rPr>
        <w:t>If previously instructed, r</w:t>
      </w:r>
      <w:r w:rsidR="0040710D">
        <w:rPr>
          <w:rFonts w:ascii="Arial" w:hAnsi="Arial" w:cs="Arial"/>
          <w:color w:val="000000"/>
        </w:rPr>
        <w:t>eturn or dispose of</w:t>
      </w:r>
      <w:r>
        <w:rPr>
          <w:rFonts w:ascii="Arial" w:hAnsi="Arial" w:cs="Arial"/>
          <w:color w:val="000000"/>
        </w:rPr>
        <w:t xml:space="preserve"> any unused </w:t>
      </w:r>
      <w:r w:rsidR="004D5448">
        <w:rPr>
          <w:rFonts w:ascii="Arial" w:hAnsi="Arial" w:cs="Arial"/>
          <w:color w:val="000000"/>
        </w:rPr>
        <w:t>IP</w:t>
      </w:r>
      <w:r w:rsidR="0040710D">
        <w:rPr>
          <w:rFonts w:ascii="Arial" w:hAnsi="Arial" w:cs="Arial"/>
          <w:color w:val="000000"/>
        </w:rPr>
        <w:t xml:space="preserve"> in accordance with</w:t>
      </w:r>
      <w:r w:rsidR="00AE608E">
        <w:rPr>
          <w:rFonts w:ascii="Arial" w:hAnsi="Arial" w:cs="Arial"/>
          <w:color w:val="000000"/>
        </w:rPr>
        <w:t xml:space="preserve"> the protocol and regulations</w:t>
      </w:r>
      <w:r>
        <w:rPr>
          <w:rFonts w:ascii="Arial" w:hAnsi="Arial" w:cs="Arial"/>
          <w:color w:val="000000"/>
        </w:rPr>
        <w:t xml:space="preserve">. </w:t>
      </w:r>
      <w:r w:rsidR="00AC215B" w:rsidRPr="009E7251">
        <w:rPr>
          <w:rFonts w:ascii="Arial" w:hAnsi="Arial" w:cs="Arial"/>
          <w:color w:val="000000"/>
        </w:rPr>
        <w:t>File copies of study packing slips and shipment receipts appropriately</w:t>
      </w:r>
      <w:r w:rsidR="009E7251">
        <w:rPr>
          <w:rFonts w:ascii="Arial" w:hAnsi="Arial" w:cs="Arial"/>
          <w:color w:val="000000"/>
        </w:rPr>
        <w:t xml:space="preserve"> in regulatory binder for monitor review</w:t>
      </w:r>
      <w:r w:rsidR="00AC215B" w:rsidRPr="009E7251">
        <w:rPr>
          <w:rFonts w:ascii="Arial" w:hAnsi="Arial" w:cs="Arial"/>
          <w:color w:val="000000"/>
        </w:rPr>
        <w:t xml:space="preserve">. </w:t>
      </w:r>
    </w:p>
    <w:p w14:paraId="49F5D4CD" w14:textId="77777777" w:rsidR="00AB055E" w:rsidRPr="00AB055E" w:rsidRDefault="00AB055E" w:rsidP="00C61CA3">
      <w:pPr>
        <w:pStyle w:val="ListParagraph"/>
        <w:numPr>
          <w:ilvl w:val="1"/>
          <w:numId w:val="27"/>
        </w:numPr>
        <w:tabs>
          <w:tab w:val="left" w:pos="1440"/>
        </w:tabs>
        <w:autoSpaceDE w:val="0"/>
        <w:autoSpaceDN w:val="0"/>
        <w:adjustRightInd w:val="0"/>
        <w:spacing w:after="0" w:line="240" w:lineRule="auto"/>
        <w:ind w:left="1440" w:hanging="630"/>
        <w:rPr>
          <w:rFonts w:ascii="Arial" w:hAnsi="Arial" w:cs="Arial"/>
          <w:b/>
          <w:color w:val="000000"/>
        </w:rPr>
      </w:pPr>
      <w:r>
        <w:rPr>
          <w:rFonts w:ascii="Arial" w:hAnsi="Arial" w:cs="Arial"/>
          <w:color w:val="000000"/>
        </w:rPr>
        <w:t xml:space="preserve">Arrange for the monitor to meet with the PI </w:t>
      </w:r>
      <w:r w:rsidR="007B15F8">
        <w:rPr>
          <w:rFonts w:ascii="Arial" w:hAnsi="Arial" w:cs="Arial"/>
          <w:color w:val="000000"/>
        </w:rPr>
        <w:t>and/or Fiscal Manager</w:t>
      </w:r>
      <w:r>
        <w:rPr>
          <w:rFonts w:ascii="Arial" w:hAnsi="Arial" w:cs="Arial"/>
          <w:color w:val="000000"/>
        </w:rPr>
        <w:t xml:space="preserve"> to discuss any outstanding issues.</w:t>
      </w:r>
    </w:p>
    <w:p w14:paraId="49F5D4CE" w14:textId="77777777" w:rsidR="00AB055E" w:rsidRDefault="00AB055E" w:rsidP="00AB055E">
      <w:pPr>
        <w:pStyle w:val="ListParagraph"/>
        <w:autoSpaceDE w:val="0"/>
        <w:autoSpaceDN w:val="0"/>
        <w:adjustRightInd w:val="0"/>
        <w:spacing w:after="0" w:line="240" w:lineRule="auto"/>
        <w:ind w:left="1080"/>
        <w:rPr>
          <w:rFonts w:ascii="Arial" w:hAnsi="Arial" w:cs="Arial"/>
          <w:color w:val="000000"/>
        </w:rPr>
      </w:pPr>
    </w:p>
    <w:p w14:paraId="49F5D4CF" w14:textId="77777777" w:rsidR="00A12D89" w:rsidRDefault="00AB055E" w:rsidP="00C61CA3">
      <w:pPr>
        <w:pStyle w:val="ListParagraph"/>
        <w:numPr>
          <w:ilvl w:val="0"/>
          <w:numId w:val="27"/>
        </w:numPr>
        <w:autoSpaceDE w:val="0"/>
        <w:autoSpaceDN w:val="0"/>
        <w:adjustRightInd w:val="0"/>
        <w:spacing w:after="0" w:line="240" w:lineRule="auto"/>
        <w:rPr>
          <w:rFonts w:ascii="Arial" w:hAnsi="Arial" w:cs="Arial"/>
          <w:b/>
          <w:color w:val="000000"/>
        </w:rPr>
      </w:pPr>
      <w:r>
        <w:rPr>
          <w:rFonts w:ascii="Arial" w:hAnsi="Arial" w:cs="Arial"/>
          <w:b/>
          <w:color w:val="000000"/>
        </w:rPr>
        <w:t>Managing the Study Close-Out V</w:t>
      </w:r>
      <w:r w:rsidRPr="00AB055E">
        <w:rPr>
          <w:rFonts w:ascii="Arial" w:hAnsi="Arial" w:cs="Arial"/>
          <w:b/>
          <w:color w:val="000000"/>
        </w:rPr>
        <w:t>isit</w:t>
      </w:r>
      <w:r>
        <w:rPr>
          <w:rFonts w:ascii="Arial" w:hAnsi="Arial" w:cs="Arial"/>
          <w:b/>
          <w:color w:val="000000"/>
        </w:rPr>
        <w:t>:</w:t>
      </w:r>
    </w:p>
    <w:p w14:paraId="49F5D4D0"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rPr>
      </w:pPr>
      <w:r w:rsidRPr="004D5448">
        <w:rPr>
          <w:rFonts w:ascii="Arial" w:hAnsi="Arial" w:cs="Arial"/>
        </w:rPr>
        <w:t>Ensure all documentation is filed appropriately and ready for the monitor to review during the close-out visit. Discuss all open study-related issues and what steps will be taken to resolve them in order to satisfy the sponsor/CRO requirement(s).</w:t>
      </w:r>
    </w:p>
    <w:p w14:paraId="49F5D4D1" w14:textId="77777777" w:rsidR="00CA6DEA" w:rsidRPr="004D5448" w:rsidRDefault="000B7E9D"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Pr>
          <w:rFonts w:ascii="Arial" w:hAnsi="Arial" w:cs="Arial"/>
        </w:rPr>
        <w:t xml:space="preserve">Review with the </w:t>
      </w:r>
      <w:r w:rsidR="00A12D89" w:rsidRPr="004D5448">
        <w:rPr>
          <w:rFonts w:ascii="Arial" w:hAnsi="Arial" w:cs="Arial"/>
        </w:rPr>
        <w:t>monitor the list of outstanding issues related to regulatory documents, source data verification, test article reconciliation, and any requirements for data retention and storage.</w:t>
      </w:r>
    </w:p>
    <w:p w14:paraId="49F5D4D2" w14:textId="77777777" w:rsidR="00CA6DEA" w:rsidRPr="004D5448" w:rsidRDefault="00CA6DEA"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color w:val="000000"/>
        </w:rPr>
        <w:t>Review with t</w:t>
      </w:r>
      <w:r w:rsidR="0053214B">
        <w:rPr>
          <w:rFonts w:ascii="Arial" w:hAnsi="Arial" w:cs="Arial"/>
          <w:color w:val="000000"/>
        </w:rPr>
        <w:t xml:space="preserve">he monitor the responsibilities </w:t>
      </w:r>
      <w:r w:rsidRPr="004D5448">
        <w:rPr>
          <w:rFonts w:ascii="Arial" w:hAnsi="Arial" w:cs="Arial"/>
          <w:color w:val="000000"/>
        </w:rPr>
        <w:t xml:space="preserve">for reporting serious adverse events and IND safety reports after formal termination of the study. </w:t>
      </w:r>
    </w:p>
    <w:p w14:paraId="49F5D4D3"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rPr>
        <w:t xml:space="preserve">Discuss any concerns regarding the possibility of a quality </w:t>
      </w:r>
      <w:r w:rsidR="00CA6DEA" w:rsidRPr="004D5448">
        <w:rPr>
          <w:rFonts w:ascii="Arial" w:hAnsi="Arial" w:cs="Arial"/>
        </w:rPr>
        <w:t>assurance (QA) audit and/or FDA audit</w:t>
      </w:r>
      <w:r w:rsidRPr="004D5448">
        <w:rPr>
          <w:rFonts w:ascii="Arial" w:hAnsi="Arial" w:cs="Arial"/>
        </w:rPr>
        <w:t xml:space="preserve">. </w:t>
      </w:r>
    </w:p>
    <w:p w14:paraId="49F5D4D4"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rPr>
        <w:t>If the study involved el</w:t>
      </w:r>
      <w:r w:rsidR="00CA6DEA" w:rsidRPr="004D5448">
        <w:rPr>
          <w:rFonts w:ascii="Arial" w:hAnsi="Arial" w:cs="Arial"/>
        </w:rPr>
        <w:t>ectronic data capture, discuss</w:t>
      </w:r>
      <w:r w:rsidRPr="004D5448">
        <w:rPr>
          <w:rFonts w:ascii="Arial" w:hAnsi="Arial" w:cs="Arial"/>
        </w:rPr>
        <w:t xml:space="preserve"> when hard copies of all CRFs will be provided to USF.</w:t>
      </w:r>
    </w:p>
    <w:p w14:paraId="49F5D4D5" w14:textId="77777777" w:rsidR="00A12D89" w:rsidRPr="004D5448" w:rsidRDefault="00A12D89"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sidRPr="004D5448">
        <w:rPr>
          <w:rFonts w:ascii="Arial" w:hAnsi="Arial" w:cs="Arial"/>
        </w:rPr>
        <w:t>The PI is responsible for ensuring the appropriate follow-up, per the protocol, for any participant experiencing an ongoing unanticipated problem (e.g., serious adverse event) at study end and providing this information to the sponsor, assuring all sponsor’s requirements have been met.</w:t>
      </w:r>
    </w:p>
    <w:p w14:paraId="49F5D4D6" w14:textId="4A024950" w:rsidR="004D5448" w:rsidRPr="007B15F8" w:rsidRDefault="007B15F8" w:rsidP="00C61CA3">
      <w:pPr>
        <w:pStyle w:val="ListParagraph"/>
        <w:numPr>
          <w:ilvl w:val="1"/>
          <w:numId w:val="27"/>
        </w:numPr>
        <w:autoSpaceDE w:val="0"/>
        <w:autoSpaceDN w:val="0"/>
        <w:adjustRightInd w:val="0"/>
        <w:spacing w:after="0" w:line="240" w:lineRule="auto"/>
        <w:ind w:left="1440" w:hanging="630"/>
        <w:rPr>
          <w:rFonts w:ascii="Arial" w:hAnsi="Arial" w:cs="Arial"/>
          <w:b/>
          <w:color w:val="000000"/>
        </w:rPr>
      </w:pPr>
      <w:r>
        <w:rPr>
          <w:rFonts w:ascii="Arial" w:hAnsi="Arial" w:cs="Arial"/>
        </w:rPr>
        <w:t>Discuss the timelines and requirements for final payments (if applicable)</w:t>
      </w:r>
      <w:r w:rsidR="004D5448">
        <w:rPr>
          <w:rFonts w:ascii="Arial" w:hAnsi="Arial" w:cs="Arial"/>
        </w:rPr>
        <w:t>.</w:t>
      </w:r>
    </w:p>
    <w:p w14:paraId="49F5D4DE" w14:textId="77777777" w:rsidR="00AC215B" w:rsidRPr="00AC215B" w:rsidRDefault="00AC215B" w:rsidP="00AC215B">
      <w:pPr>
        <w:autoSpaceDE w:val="0"/>
        <w:autoSpaceDN w:val="0"/>
        <w:adjustRightInd w:val="0"/>
        <w:spacing w:after="0" w:line="240" w:lineRule="auto"/>
        <w:ind w:left="360" w:hanging="360"/>
        <w:rPr>
          <w:rFonts w:ascii="Times New Roman" w:hAnsi="Times New Roman" w:cs="Times New Roman"/>
          <w:color w:val="000000"/>
        </w:rPr>
      </w:pPr>
    </w:p>
    <w:p w14:paraId="49F5D4DF" w14:textId="77777777" w:rsidR="00C63821" w:rsidRPr="008041A5" w:rsidRDefault="00C63821" w:rsidP="00C61CA3">
      <w:pPr>
        <w:pStyle w:val="ListParagraph"/>
        <w:numPr>
          <w:ilvl w:val="0"/>
          <w:numId w:val="27"/>
        </w:numPr>
        <w:autoSpaceDE w:val="0"/>
        <w:autoSpaceDN w:val="0"/>
        <w:adjustRightInd w:val="0"/>
        <w:spacing w:after="0" w:line="240" w:lineRule="auto"/>
        <w:rPr>
          <w:rFonts w:ascii="Arial" w:hAnsi="Arial" w:cs="Arial"/>
          <w:b/>
          <w:bCs/>
        </w:rPr>
      </w:pPr>
      <w:r w:rsidRPr="008041A5">
        <w:rPr>
          <w:rFonts w:ascii="Arial" w:hAnsi="Arial" w:cs="Arial"/>
          <w:b/>
          <w:bCs/>
        </w:rPr>
        <w:t>Follow-up after the Study Close-Out V</w:t>
      </w:r>
      <w:r w:rsidR="004D5448" w:rsidRPr="008041A5">
        <w:rPr>
          <w:rFonts w:ascii="Arial" w:hAnsi="Arial" w:cs="Arial"/>
          <w:b/>
          <w:bCs/>
        </w:rPr>
        <w:t>isit</w:t>
      </w:r>
      <w:r w:rsidRPr="008041A5">
        <w:rPr>
          <w:rFonts w:ascii="Arial" w:hAnsi="Arial" w:cs="Arial"/>
          <w:b/>
          <w:bCs/>
        </w:rPr>
        <w:t>:</w:t>
      </w:r>
    </w:p>
    <w:p w14:paraId="184D5861" w14:textId="77777777" w:rsidR="00952B23" w:rsidRPr="00952B23" w:rsidRDefault="00352D49"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Pr>
          <w:rFonts w:ascii="Arial" w:hAnsi="Arial" w:cs="Arial"/>
          <w:bCs/>
        </w:rPr>
        <w:t xml:space="preserve">The monitor will document the visit by submitting a study termination visit </w:t>
      </w:r>
      <w:r w:rsidR="0053214B">
        <w:rPr>
          <w:rFonts w:ascii="Arial" w:hAnsi="Arial" w:cs="Arial"/>
          <w:bCs/>
        </w:rPr>
        <w:t>report outlining</w:t>
      </w:r>
      <w:r>
        <w:rPr>
          <w:rFonts w:ascii="Arial" w:hAnsi="Arial" w:cs="Arial"/>
          <w:bCs/>
        </w:rPr>
        <w:t xml:space="preserve"> what was accompli</w:t>
      </w:r>
      <w:r w:rsidR="0053214B">
        <w:rPr>
          <w:rFonts w:ascii="Arial" w:hAnsi="Arial" w:cs="Arial"/>
          <w:bCs/>
        </w:rPr>
        <w:t>shed during the visit and noting</w:t>
      </w:r>
      <w:r>
        <w:rPr>
          <w:rFonts w:ascii="Arial" w:hAnsi="Arial" w:cs="Arial"/>
          <w:bCs/>
        </w:rPr>
        <w:t xml:space="preserve"> any items that need additional attention.</w:t>
      </w:r>
      <w:r w:rsidR="00F24720">
        <w:rPr>
          <w:rFonts w:ascii="Arial" w:hAnsi="Arial" w:cs="Arial"/>
          <w:bCs/>
        </w:rPr>
        <w:t xml:space="preserve"> Ensure that a copy of the report and follow-up letters are placed in the regulatory file</w:t>
      </w:r>
    </w:p>
    <w:p w14:paraId="49F5D4E0" w14:textId="64D00FE0" w:rsidR="00352D49" w:rsidRDefault="00352D49" w:rsidP="00952B23">
      <w:pPr>
        <w:autoSpaceDE w:val="0"/>
        <w:autoSpaceDN w:val="0"/>
        <w:adjustRightInd w:val="0"/>
        <w:spacing w:after="0" w:line="240" w:lineRule="auto"/>
        <w:ind w:left="810"/>
        <w:rPr>
          <w:rFonts w:ascii="Arial" w:hAnsi="Arial" w:cs="Arial"/>
          <w:bCs/>
        </w:rPr>
      </w:pPr>
    </w:p>
    <w:p w14:paraId="1CFDFEBC" w14:textId="77777777" w:rsidR="00952B23" w:rsidRDefault="00952B23" w:rsidP="00952B23">
      <w:pPr>
        <w:autoSpaceDE w:val="0"/>
        <w:autoSpaceDN w:val="0"/>
        <w:adjustRightInd w:val="0"/>
        <w:spacing w:after="0" w:line="240" w:lineRule="auto"/>
        <w:ind w:left="810"/>
        <w:rPr>
          <w:rFonts w:ascii="Arial" w:hAnsi="Arial" w:cs="Arial"/>
          <w:bCs/>
        </w:rPr>
      </w:pPr>
    </w:p>
    <w:p w14:paraId="593EAB2F" w14:textId="77777777" w:rsidR="00D62BE4" w:rsidRDefault="00D62BE4" w:rsidP="00952B23">
      <w:pPr>
        <w:autoSpaceDE w:val="0"/>
        <w:autoSpaceDN w:val="0"/>
        <w:adjustRightInd w:val="0"/>
        <w:spacing w:after="0" w:line="240" w:lineRule="auto"/>
        <w:rPr>
          <w:rFonts w:ascii="Arial" w:hAnsi="Arial" w:cs="Arial"/>
          <w:b/>
          <w:bCs/>
          <w:spacing w:val="2"/>
          <w:w w:val="103"/>
        </w:rPr>
      </w:pPr>
    </w:p>
    <w:p w14:paraId="579F259B" w14:textId="77777777" w:rsidR="00952B23" w:rsidRPr="00B76603" w:rsidRDefault="00952B23" w:rsidP="00952B23">
      <w:pPr>
        <w:autoSpaceDE w:val="0"/>
        <w:autoSpaceDN w:val="0"/>
        <w:adjustRightInd w:val="0"/>
        <w:spacing w:after="0" w:line="240" w:lineRule="auto"/>
        <w:rPr>
          <w:rFonts w:ascii="Arial" w:hAnsi="Arial" w:cs="Arial"/>
          <w:b/>
          <w:color w:val="000000"/>
        </w:rPr>
      </w:pPr>
      <w:r w:rsidRPr="00B76603">
        <w:rPr>
          <w:rFonts w:ascii="Arial" w:hAnsi="Arial" w:cs="Arial"/>
          <w:b/>
          <w:bCs/>
          <w:spacing w:val="2"/>
          <w:w w:val="103"/>
        </w:rPr>
        <w:t xml:space="preserve">PROCEDURE (cont.): </w:t>
      </w:r>
    </w:p>
    <w:p w14:paraId="57223D86" w14:textId="77777777" w:rsidR="00952B23" w:rsidRPr="00952B23" w:rsidRDefault="00952B23" w:rsidP="00952B23">
      <w:pPr>
        <w:autoSpaceDE w:val="0"/>
        <w:autoSpaceDN w:val="0"/>
        <w:adjustRightInd w:val="0"/>
        <w:spacing w:after="0" w:line="240" w:lineRule="auto"/>
        <w:ind w:left="810"/>
        <w:rPr>
          <w:rFonts w:ascii="Arial" w:hAnsi="Arial" w:cs="Arial"/>
          <w:b/>
          <w:bCs/>
        </w:rPr>
      </w:pPr>
    </w:p>
    <w:p w14:paraId="1CE7925B" w14:textId="77777777" w:rsidR="00DE170A" w:rsidRPr="00DE170A" w:rsidRDefault="00C63821" w:rsidP="00952B2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bCs/>
        </w:rPr>
        <w:t>If not previously instructed,</w:t>
      </w:r>
      <w:r w:rsidRPr="008041A5">
        <w:rPr>
          <w:rFonts w:ascii="Arial" w:hAnsi="Arial" w:cs="Arial"/>
        </w:rPr>
        <w:t xml:space="preserve"> </w:t>
      </w:r>
      <w:r w:rsidR="004D5448" w:rsidRPr="008041A5">
        <w:rPr>
          <w:rFonts w:ascii="Arial" w:hAnsi="Arial" w:cs="Arial"/>
        </w:rPr>
        <w:t>ensure</w:t>
      </w:r>
      <w:r w:rsidRPr="008041A5">
        <w:rPr>
          <w:rFonts w:ascii="Arial" w:hAnsi="Arial" w:cs="Arial"/>
        </w:rPr>
        <w:t xml:space="preserve"> that any remaining IP</w:t>
      </w:r>
      <w:r w:rsidR="004D5448" w:rsidRPr="008041A5">
        <w:rPr>
          <w:rFonts w:ascii="Arial" w:hAnsi="Arial" w:cs="Arial"/>
        </w:rPr>
        <w:t xml:space="preserve"> is</w:t>
      </w:r>
      <w:r w:rsidRPr="008041A5">
        <w:rPr>
          <w:rFonts w:ascii="Arial" w:hAnsi="Arial" w:cs="Arial"/>
        </w:rPr>
        <w:t xml:space="preserve"> either returned </w:t>
      </w:r>
      <w:r w:rsidR="004D5448" w:rsidRPr="008041A5">
        <w:rPr>
          <w:rFonts w:ascii="Arial" w:hAnsi="Arial" w:cs="Arial"/>
        </w:rPr>
        <w:t>to the spons</w:t>
      </w:r>
      <w:r w:rsidR="000E3878" w:rsidRPr="008041A5">
        <w:rPr>
          <w:rFonts w:ascii="Arial" w:hAnsi="Arial" w:cs="Arial"/>
        </w:rPr>
        <w:t xml:space="preserve">or/CRO per their requirements or if </w:t>
      </w:r>
      <w:r w:rsidR="004D5448" w:rsidRPr="008041A5">
        <w:rPr>
          <w:rFonts w:ascii="Arial" w:hAnsi="Arial" w:cs="Arial"/>
        </w:rPr>
        <w:t>the sponsor</w:t>
      </w:r>
      <w:r w:rsidRPr="008041A5">
        <w:rPr>
          <w:rFonts w:ascii="Arial" w:hAnsi="Arial" w:cs="Arial"/>
        </w:rPr>
        <w:t xml:space="preserve"> </w:t>
      </w:r>
      <w:r w:rsidR="004D5448" w:rsidRPr="008041A5">
        <w:rPr>
          <w:rFonts w:ascii="Arial" w:hAnsi="Arial" w:cs="Arial"/>
        </w:rPr>
        <w:t>allows remaining investigational drug to be disposed of at the</w:t>
      </w:r>
      <w:r w:rsidRPr="008041A5">
        <w:rPr>
          <w:rFonts w:ascii="Arial" w:hAnsi="Arial" w:cs="Arial"/>
        </w:rPr>
        <w:t xml:space="preserve"> </w:t>
      </w:r>
      <w:r w:rsidR="004D5448" w:rsidRPr="008041A5">
        <w:rPr>
          <w:rFonts w:ascii="Arial" w:hAnsi="Arial" w:cs="Arial"/>
        </w:rPr>
        <w:t>site</w:t>
      </w:r>
      <w:r w:rsidR="00AE608E">
        <w:rPr>
          <w:rFonts w:ascii="Arial" w:hAnsi="Arial" w:cs="Arial"/>
        </w:rPr>
        <w:t xml:space="preserve"> following the close-out visit.</w:t>
      </w:r>
    </w:p>
    <w:p w14:paraId="1B9C26F8" w14:textId="4C65410F" w:rsidR="00DE170A" w:rsidRPr="00DE170A" w:rsidRDefault="00AE608E" w:rsidP="00DE170A">
      <w:pPr>
        <w:pStyle w:val="ListParagraph"/>
        <w:numPr>
          <w:ilvl w:val="0"/>
          <w:numId w:val="29"/>
        </w:numPr>
        <w:autoSpaceDE w:val="0"/>
        <w:autoSpaceDN w:val="0"/>
        <w:adjustRightInd w:val="0"/>
        <w:spacing w:after="0" w:line="240" w:lineRule="auto"/>
        <w:rPr>
          <w:rFonts w:ascii="Arial" w:hAnsi="Arial" w:cs="Arial"/>
          <w:b/>
          <w:bCs/>
        </w:rPr>
      </w:pPr>
      <w:r w:rsidRPr="00952B23">
        <w:rPr>
          <w:rFonts w:ascii="Arial" w:hAnsi="Arial" w:cs="Arial"/>
        </w:rPr>
        <w:t>T</w:t>
      </w:r>
      <w:r w:rsidR="00B76603" w:rsidRPr="00952B23">
        <w:rPr>
          <w:rFonts w:ascii="Arial" w:hAnsi="Arial" w:cs="Arial"/>
        </w:rPr>
        <w:t xml:space="preserve">he </w:t>
      </w:r>
      <w:r w:rsidR="004D5448" w:rsidRPr="00952B23">
        <w:rPr>
          <w:rFonts w:ascii="Arial" w:hAnsi="Arial" w:cs="Arial"/>
        </w:rPr>
        <w:t>authorized key personnel</w:t>
      </w:r>
      <w:r w:rsidR="00C63821" w:rsidRPr="00952B23">
        <w:rPr>
          <w:rFonts w:ascii="Arial" w:hAnsi="Arial" w:cs="Arial"/>
        </w:rPr>
        <w:t xml:space="preserve"> </w:t>
      </w:r>
      <w:r w:rsidR="00952B23" w:rsidRPr="00952B23">
        <w:rPr>
          <w:rFonts w:ascii="Arial" w:hAnsi="Arial" w:cs="Arial"/>
        </w:rPr>
        <w:t xml:space="preserve">(with verification by </w:t>
      </w:r>
      <w:r w:rsidR="004D5448" w:rsidRPr="00952B23">
        <w:rPr>
          <w:rFonts w:ascii="Arial" w:hAnsi="Arial" w:cs="Arial"/>
        </w:rPr>
        <w:t>a second authorized key personnel) can</w:t>
      </w:r>
      <w:r w:rsidR="00C63821" w:rsidRPr="00952B23">
        <w:rPr>
          <w:rFonts w:ascii="Arial" w:hAnsi="Arial" w:cs="Arial"/>
        </w:rPr>
        <w:t xml:space="preserve"> dispose of the drug </w:t>
      </w:r>
      <w:r w:rsidR="0040710D" w:rsidRPr="00952B23">
        <w:rPr>
          <w:rFonts w:ascii="Arial" w:hAnsi="Arial" w:cs="Arial"/>
        </w:rPr>
        <w:t xml:space="preserve">according to the USF </w:t>
      </w:r>
      <w:r w:rsidR="000E3878" w:rsidRPr="00952B23">
        <w:rPr>
          <w:rFonts w:ascii="Arial" w:hAnsi="Arial" w:cs="Arial"/>
        </w:rPr>
        <w:t xml:space="preserve">Environmental Health and Safety </w:t>
      </w:r>
      <w:r w:rsidR="0040710D" w:rsidRPr="00952B23">
        <w:rPr>
          <w:rFonts w:ascii="Arial" w:hAnsi="Arial" w:cs="Arial"/>
        </w:rPr>
        <w:t>Universal Pharmaceutical Waste Program</w:t>
      </w:r>
      <w:r w:rsidR="00D62BE4">
        <w:rPr>
          <w:rFonts w:ascii="Arial" w:hAnsi="Arial" w:cs="Arial"/>
        </w:rPr>
        <w:t>.</w:t>
      </w:r>
    </w:p>
    <w:p w14:paraId="49F5D4E1" w14:textId="637DB204" w:rsidR="000E3878" w:rsidRPr="00952B23" w:rsidRDefault="000E3878" w:rsidP="00DE170A">
      <w:pPr>
        <w:pStyle w:val="ListParagraph"/>
        <w:numPr>
          <w:ilvl w:val="0"/>
          <w:numId w:val="29"/>
        </w:numPr>
        <w:autoSpaceDE w:val="0"/>
        <w:autoSpaceDN w:val="0"/>
        <w:adjustRightInd w:val="0"/>
        <w:spacing w:after="0" w:line="240" w:lineRule="auto"/>
        <w:rPr>
          <w:rFonts w:ascii="Arial" w:hAnsi="Arial" w:cs="Arial"/>
          <w:b/>
          <w:bCs/>
        </w:rPr>
      </w:pPr>
      <w:r w:rsidRPr="00952B23">
        <w:rPr>
          <w:rFonts w:ascii="Arial" w:hAnsi="Arial" w:cs="Arial"/>
        </w:rPr>
        <w:t>I</w:t>
      </w:r>
      <w:r w:rsidR="00C63821" w:rsidRPr="00952B23">
        <w:rPr>
          <w:rFonts w:ascii="Arial" w:hAnsi="Arial" w:cs="Arial"/>
        </w:rPr>
        <w:t>f the drug is stored</w:t>
      </w:r>
      <w:r w:rsidR="00DE170A">
        <w:rPr>
          <w:rFonts w:ascii="Arial" w:hAnsi="Arial" w:cs="Arial"/>
        </w:rPr>
        <w:t xml:space="preserve"> in the CIRP, the Pharmacist will</w:t>
      </w:r>
      <w:r w:rsidR="00C63821" w:rsidRPr="00952B23">
        <w:rPr>
          <w:rFonts w:ascii="Arial" w:hAnsi="Arial" w:cs="Arial"/>
        </w:rPr>
        <w:t xml:space="preserve"> dispose</w:t>
      </w:r>
      <w:r w:rsidR="004D5448" w:rsidRPr="00952B23">
        <w:rPr>
          <w:rFonts w:ascii="Arial" w:hAnsi="Arial" w:cs="Arial"/>
        </w:rPr>
        <w:t xml:space="preserve"> the dru</w:t>
      </w:r>
      <w:r w:rsidR="0040710D" w:rsidRPr="00952B23">
        <w:rPr>
          <w:rFonts w:ascii="Arial" w:hAnsi="Arial" w:cs="Arial"/>
        </w:rPr>
        <w:t xml:space="preserve">g per the </w:t>
      </w:r>
      <w:r w:rsidR="008041A5" w:rsidRPr="00952B23">
        <w:rPr>
          <w:rFonts w:ascii="Arial" w:hAnsi="Arial" w:cs="Arial"/>
        </w:rPr>
        <w:t xml:space="preserve">CIRP </w:t>
      </w:r>
      <w:r w:rsidR="0040710D" w:rsidRPr="00952B23">
        <w:rPr>
          <w:rFonts w:ascii="Arial" w:hAnsi="Arial" w:cs="Arial"/>
        </w:rPr>
        <w:t xml:space="preserve">Disposal and Destruction of Investigational Product </w:t>
      </w:r>
      <w:r w:rsidR="004D5448" w:rsidRPr="00952B23">
        <w:rPr>
          <w:rFonts w:ascii="Arial" w:hAnsi="Arial" w:cs="Arial"/>
        </w:rPr>
        <w:t>Policy</w:t>
      </w:r>
      <w:r w:rsidR="0040710D" w:rsidRPr="00952B23">
        <w:rPr>
          <w:rFonts w:ascii="Arial" w:hAnsi="Arial" w:cs="Arial"/>
        </w:rPr>
        <w:t xml:space="preserve"> in accordance with the pharmaceutical waste management plan</w:t>
      </w:r>
      <w:r w:rsidR="004D5448" w:rsidRPr="00952B23">
        <w:rPr>
          <w:rFonts w:ascii="Arial" w:hAnsi="Arial" w:cs="Arial"/>
        </w:rPr>
        <w:t xml:space="preserve">. </w:t>
      </w:r>
      <w:r w:rsidR="0040710D" w:rsidRPr="00952B23">
        <w:rPr>
          <w:rFonts w:ascii="Arial" w:hAnsi="Arial" w:cs="Arial"/>
        </w:rPr>
        <w:t xml:space="preserve">The CIRP does not destroy investigational product on-site. </w:t>
      </w:r>
    </w:p>
    <w:p w14:paraId="49F5D4E2" w14:textId="10C160A3"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Ensure</w:t>
      </w:r>
      <w:r w:rsidR="00C63821" w:rsidRPr="008041A5">
        <w:rPr>
          <w:rFonts w:ascii="Arial" w:hAnsi="Arial" w:cs="Arial"/>
        </w:rPr>
        <w:t xml:space="preserve"> </w:t>
      </w:r>
      <w:r w:rsidRPr="008041A5">
        <w:rPr>
          <w:rFonts w:ascii="Arial" w:hAnsi="Arial" w:cs="Arial"/>
        </w:rPr>
        <w:t>all documentation is complete (i.e. sponsor drug</w:t>
      </w:r>
      <w:r w:rsidR="00C63821" w:rsidRPr="008041A5">
        <w:rPr>
          <w:rFonts w:ascii="Arial" w:hAnsi="Arial" w:cs="Arial"/>
        </w:rPr>
        <w:t xml:space="preserve"> </w:t>
      </w:r>
      <w:r w:rsidR="00F17BAC">
        <w:rPr>
          <w:rFonts w:ascii="Arial" w:hAnsi="Arial" w:cs="Arial"/>
        </w:rPr>
        <w:t>accountability/</w:t>
      </w:r>
      <w:r w:rsidRPr="008041A5">
        <w:rPr>
          <w:rFonts w:ascii="Arial" w:hAnsi="Arial" w:cs="Arial"/>
        </w:rPr>
        <w:t xml:space="preserve"> destruction logs).</w:t>
      </w:r>
    </w:p>
    <w:p w14:paraId="49F5D4E3" w14:textId="3E638412"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Ensure all test article packing slips and shipment receipts are</w:t>
      </w:r>
      <w:r w:rsidR="000E3878" w:rsidRPr="008041A5">
        <w:rPr>
          <w:rFonts w:ascii="Arial" w:hAnsi="Arial" w:cs="Arial"/>
        </w:rPr>
        <w:t xml:space="preserve"> </w:t>
      </w:r>
      <w:r w:rsidRPr="008041A5">
        <w:rPr>
          <w:rFonts w:ascii="Arial" w:hAnsi="Arial" w:cs="Arial"/>
        </w:rPr>
        <w:t>accounted for and properly filed in the regulatory binder.</w:t>
      </w:r>
    </w:p>
    <w:p w14:paraId="49F5D4E4" w14:textId="77777777"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Provide the sponsor with any documentation of previously</w:t>
      </w:r>
      <w:r w:rsidR="000E3878" w:rsidRPr="008041A5">
        <w:rPr>
          <w:rFonts w:ascii="Arial" w:hAnsi="Arial" w:cs="Arial"/>
        </w:rPr>
        <w:t xml:space="preserve"> </w:t>
      </w:r>
      <w:r w:rsidRPr="008041A5">
        <w:rPr>
          <w:rFonts w:ascii="Arial" w:hAnsi="Arial" w:cs="Arial"/>
        </w:rPr>
        <w:t>authorized test article disposal and file site copy appropriately.</w:t>
      </w:r>
      <w:r w:rsidR="000E3878" w:rsidRPr="008041A5">
        <w:rPr>
          <w:rFonts w:ascii="Arial" w:hAnsi="Arial" w:cs="Arial"/>
        </w:rPr>
        <w:t xml:space="preserve"> </w:t>
      </w:r>
      <w:r w:rsidRPr="008041A5">
        <w:rPr>
          <w:rFonts w:ascii="Arial" w:hAnsi="Arial" w:cs="Arial"/>
        </w:rPr>
        <w:t>If the randomization code for any test article was broken for</w:t>
      </w:r>
      <w:r w:rsidR="000E3878" w:rsidRPr="008041A5">
        <w:rPr>
          <w:rFonts w:ascii="Arial" w:hAnsi="Arial" w:cs="Arial"/>
        </w:rPr>
        <w:t xml:space="preserve"> </w:t>
      </w:r>
      <w:r w:rsidRPr="008041A5">
        <w:rPr>
          <w:rFonts w:ascii="Arial" w:hAnsi="Arial" w:cs="Arial"/>
        </w:rPr>
        <w:t>any reason, ensure complete documentation has been filed.</w:t>
      </w:r>
    </w:p>
    <w:p w14:paraId="49F5D4E5" w14:textId="77777777" w:rsidR="000E3878" w:rsidRPr="0053214B"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Ensure return or destruction of all other study-related</w:t>
      </w:r>
      <w:r w:rsidR="000E3878" w:rsidRPr="008041A5">
        <w:rPr>
          <w:rFonts w:ascii="Arial" w:hAnsi="Arial" w:cs="Arial"/>
        </w:rPr>
        <w:t xml:space="preserve"> </w:t>
      </w:r>
      <w:r w:rsidRPr="008041A5">
        <w:rPr>
          <w:rFonts w:ascii="Arial" w:hAnsi="Arial" w:cs="Arial"/>
        </w:rPr>
        <w:t>materials, such as unused lab kits and CRFs.</w:t>
      </w:r>
    </w:p>
    <w:p w14:paraId="49F5D4E6" w14:textId="77777777" w:rsidR="000E3878" w:rsidRPr="008041A5"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After all data queries have been resolved, check regulatory</w:t>
      </w:r>
      <w:r w:rsidR="000E3878" w:rsidRPr="008041A5">
        <w:rPr>
          <w:rFonts w:ascii="Arial" w:hAnsi="Arial" w:cs="Arial"/>
        </w:rPr>
        <w:t xml:space="preserve"> </w:t>
      </w:r>
      <w:r w:rsidRPr="008041A5">
        <w:rPr>
          <w:rFonts w:ascii="Arial" w:hAnsi="Arial" w:cs="Arial"/>
        </w:rPr>
        <w:t>binders, subject files and other study files for completeness.</w:t>
      </w:r>
    </w:p>
    <w:p w14:paraId="49F5D4E7" w14:textId="77777777" w:rsidR="00565270" w:rsidRPr="008041A5" w:rsidRDefault="0053214B"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Pr>
          <w:rFonts w:ascii="Arial" w:hAnsi="Arial" w:cs="Arial"/>
        </w:rPr>
        <w:t xml:space="preserve">Arrange for transfer/ storage of </w:t>
      </w:r>
      <w:r w:rsidR="004D5448" w:rsidRPr="008041A5">
        <w:rPr>
          <w:rFonts w:ascii="Arial" w:hAnsi="Arial" w:cs="Arial"/>
        </w:rPr>
        <w:t>study documents to secure</w:t>
      </w:r>
      <w:r w:rsidR="007B15F8">
        <w:rPr>
          <w:rFonts w:ascii="Arial" w:hAnsi="Arial" w:cs="Arial"/>
        </w:rPr>
        <w:t>d USF approved</w:t>
      </w:r>
      <w:r w:rsidR="004D5448" w:rsidRPr="008041A5">
        <w:rPr>
          <w:rFonts w:ascii="Arial" w:hAnsi="Arial" w:cs="Arial"/>
        </w:rPr>
        <w:t xml:space="preserve"> storage</w:t>
      </w:r>
      <w:r>
        <w:rPr>
          <w:rFonts w:ascii="Arial" w:hAnsi="Arial" w:cs="Arial"/>
        </w:rPr>
        <w:t xml:space="preserve"> location</w:t>
      </w:r>
      <w:r w:rsidR="004D5448" w:rsidRPr="008041A5">
        <w:rPr>
          <w:rFonts w:ascii="Arial" w:hAnsi="Arial" w:cs="Arial"/>
        </w:rPr>
        <w:t>.</w:t>
      </w:r>
    </w:p>
    <w:p w14:paraId="49F5D4E8" w14:textId="77777777" w:rsidR="00E571A4" w:rsidRPr="00E571A4"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8041A5">
        <w:rPr>
          <w:rFonts w:ascii="Arial" w:hAnsi="Arial" w:cs="Arial"/>
        </w:rPr>
        <w:t>Subm</w:t>
      </w:r>
      <w:r w:rsidR="00E41117" w:rsidRPr="008041A5">
        <w:rPr>
          <w:rFonts w:ascii="Arial" w:hAnsi="Arial" w:cs="Arial"/>
        </w:rPr>
        <w:t>it the Final Report</w:t>
      </w:r>
      <w:r w:rsidRPr="008041A5">
        <w:rPr>
          <w:rFonts w:ascii="Arial" w:hAnsi="Arial" w:cs="Arial"/>
        </w:rPr>
        <w:t xml:space="preserve"> to th</w:t>
      </w:r>
      <w:r w:rsidR="00565270" w:rsidRPr="008041A5">
        <w:rPr>
          <w:rFonts w:ascii="Arial" w:hAnsi="Arial" w:cs="Arial"/>
        </w:rPr>
        <w:t xml:space="preserve">e USF </w:t>
      </w:r>
      <w:r w:rsidR="00E41117" w:rsidRPr="008041A5">
        <w:rPr>
          <w:rFonts w:ascii="Arial" w:hAnsi="Arial" w:cs="Arial"/>
        </w:rPr>
        <w:t xml:space="preserve">IRB. </w:t>
      </w:r>
      <w:r w:rsidRPr="008041A5">
        <w:rPr>
          <w:rFonts w:ascii="Arial" w:hAnsi="Arial" w:cs="Arial"/>
        </w:rPr>
        <w:t xml:space="preserve"> Provide the sponsor/CRO with a copy of the</w:t>
      </w:r>
      <w:r w:rsidR="00E41117" w:rsidRPr="008041A5">
        <w:rPr>
          <w:rFonts w:ascii="Arial" w:hAnsi="Arial" w:cs="Arial"/>
        </w:rPr>
        <w:t xml:space="preserve"> IRB</w:t>
      </w:r>
      <w:r w:rsidRPr="008041A5">
        <w:rPr>
          <w:rFonts w:ascii="Arial" w:hAnsi="Arial" w:cs="Arial"/>
        </w:rPr>
        <w:t xml:space="preserve"> closure letter.</w:t>
      </w:r>
    </w:p>
    <w:p w14:paraId="49F5D4E9" w14:textId="77777777" w:rsidR="008041A5" w:rsidRPr="00E571A4" w:rsidRDefault="004D5448" w:rsidP="00C61CA3">
      <w:pPr>
        <w:pStyle w:val="ListParagraph"/>
        <w:numPr>
          <w:ilvl w:val="1"/>
          <w:numId w:val="27"/>
        </w:numPr>
        <w:autoSpaceDE w:val="0"/>
        <w:autoSpaceDN w:val="0"/>
        <w:adjustRightInd w:val="0"/>
        <w:spacing w:after="0" w:line="240" w:lineRule="auto"/>
        <w:ind w:left="1440" w:hanging="630"/>
        <w:rPr>
          <w:rFonts w:ascii="Arial" w:hAnsi="Arial" w:cs="Arial"/>
          <w:b/>
          <w:bCs/>
        </w:rPr>
      </w:pPr>
      <w:r w:rsidRPr="00E571A4">
        <w:rPr>
          <w:rFonts w:ascii="Arial" w:hAnsi="Arial" w:cs="Arial"/>
        </w:rPr>
        <w:t>Verify participant stipends have been distributed per the study</w:t>
      </w:r>
      <w:r w:rsidR="00E571A4" w:rsidRPr="00E571A4">
        <w:rPr>
          <w:rFonts w:ascii="Arial" w:hAnsi="Arial" w:cs="Arial"/>
        </w:rPr>
        <w:t xml:space="preserve"> budget, as </w:t>
      </w:r>
      <w:r w:rsidR="00E41117" w:rsidRPr="00E571A4">
        <w:rPr>
          <w:rFonts w:ascii="Arial" w:hAnsi="Arial" w:cs="Arial"/>
        </w:rPr>
        <w:t>outlined in the informed c</w:t>
      </w:r>
      <w:r w:rsidRPr="00E571A4">
        <w:rPr>
          <w:rFonts w:ascii="Arial" w:hAnsi="Arial" w:cs="Arial"/>
        </w:rPr>
        <w:t xml:space="preserve">onsent </w:t>
      </w:r>
      <w:r w:rsidR="00E41117" w:rsidRPr="00E571A4">
        <w:rPr>
          <w:rFonts w:ascii="Arial" w:hAnsi="Arial" w:cs="Arial"/>
        </w:rPr>
        <w:t>d</w:t>
      </w:r>
      <w:r w:rsidRPr="00E571A4">
        <w:rPr>
          <w:rFonts w:ascii="Arial" w:hAnsi="Arial" w:cs="Arial"/>
        </w:rPr>
        <w:t>ocument.</w:t>
      </w:r>
    </w:p>
    <w:p w14:paraId="49F5D4EA" w14:textId="77777777" w:rsidR="00A60046" w:rsidRPr="008041A5" w:rsidRDefault="00A60046" w:rsidP="00B76603">
      <w:pPr>
        <w:pStyle w:val="ListParagraph"/>
        <w:autoSpaceDE w:val="0"/>
        <w:autoSpaceDN w:val="0"/>
        <w:adjustRightInd w:val="0"/>
        <w:spacing w:after="0" w:line="240" w:lineRule="auto"/>
        <w:ind w:left="1440" w:hanging="540"/>
        <w:rPr>
          <w:rFonts w:ascii="Arial" w:hAnsi="Arial" w:cs="Arial"/>
          <w:b/>
          <w:bCs/>
        </w:rPr>
      </w:pPr>
    </w:p>
    <w:p w14:paraId="49F5D4EB"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C"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D"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E"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EF"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F0"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F1" w14:textId="77777777" w:rsidR="00AC215B" w:rsidRDefault="00AC215B" w:rsidP="00E64B23">
      <w:pPr>
        <w:pStyle w:val="ListParagraph"/>
        <w:autoSpaceDE w:val="0"/>
        <w:autoSpaceDN w:val="0"/>
        <w:adjustRightInd w:val="0"/>
        <w:spacing w:after="0" w:line="240" w:lineRule="auto"/>
        <w:ind w:left="105"/>
        <w:rPr>
          <w:rFonts w:ascii="Arial" w:hAnsi="Arial" w:cs="Arial"/>
        </w:rPr>
      </w:pPr>
    </w:p>
    <w:p w14:paraId="49F5D4F2" w14:textId="77777777" w:rsidR="004D5448" w:rsidRDefault="004D5448" w:rsidP="00E64B23">
      <w:pPr>
        <w:pStyle w:val="ListParagraph"/>
        <w:autoSpaceDE w:val="0"/>
        <w:autoSpaceDN w:val="0"/>
        <w:adjustRightInd w:val="0"/>
        <w:spacing w:after="0" w:line="240" w:lineRule="auto"/>
        <w:ind w:left="105"/>
        <w:rPr>
          <w:rFonts w:ascii="Arial" w:hAnsi="Arial" w:cs="Arial"/>
        </w:rPr>
      </w:pPr>
    </w:p>
    <w:p w14:paraId="49F5D4F3" w14:textId="77777777" w:rsidR="004D5448" w:rsidRDefault="004D5448" w:rsidP="00E64B23">
      <w:pPr>
        <w:pStyle w:val="ListParagraph"/>
        <w:autoSpaceDE w:val="0"/>
        <w:autoSpaceDN w:val="0"/>
        <w:adjustRightInd w:val="0"/>
        <w:spacing w:after="0" w:line="240" w:lineRule="auto"/>
        <w:ind w:left="105"/>
        <w:rPr>
          <w:rFonts w:ascii="Arial" w:hAnsi="Arial" w:cs="Arial"/>
        </w:rPr>
      </w:pPr>
    </w:p>
    <w:p w14:paraId="49F5D4F4" w14:textId="77777777" w:rsidR="008041A5" w:rsidRPr="008041A5" w:rsidRDefault="008041A5" w:rsidP="008041A5">
      <w:pPr>
        <w:autoSpaceDE w:val="0"/>
        <w:autoSpaceDN w:val="0"/>
        <w:adjustRightInd w:val="0"/>
        <w:spacing w:after="0" w:line="240" w:lineRule="auto"/>
        <w:rPr>
          <w:rFonts w:ascii="Arial" w:hAnsi="Arial" w:cs="Arial"/>
        </w:rPr>
      </w:pPr>
    </w:p>
    <w:p w14:paraId="49F5D4F5"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p w14:paraId="40BC24A7"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0CD6E586"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3A9D7C65"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46BA071B"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p w14:paraId="69AF7D88" w14:textId="77777777" w:rsidR="00B76603" w:rsidRDefault="00B76603" w:rsidP="005D1D42">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345"/>
        <w:gridCol w:w="7020"/>
      </w:tblGrid>
      <w:tr w:rsidR="00B76603" w:rsidRPr="00FA6586" w14:paraId="286C6FDB" w14:textId="77777777" w:rsidTr="00B76603">
        <w:trPr>
          <w:trHeight w:hRule="exact" w:val="3163"/>
        </w:trPr>
        <w:tc>
          <w:tcPr>
            <w:tcW w:w="2345" w:type="dxa"/>
            <w:tcBorders>
              <w:top w:val="single" w:sz="4" w:space="0" w:color="000000"/>
              <w:left w:val="single" w:sz="4" w:space="0" w:color="000000"/>
              <w:bottom w:val="single" w:sz="4" w:space="0" w:color="000000"/>
              <w:right w:val="single" w:sz="4" w:space="0" w:color="000000"/>
            </w:tcBorders>
          </w:tcPr>
          <w:p w14:paraId="714571A5" w14:textId="77777777" w:rsidR="00B76603" w:rsidRPr="001A559D" w:rsidRDefault="00B76603" w:rsidP="00AE608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3274EC67" w14:textId="1716EA96" w:rsidR="00B76603" w:rsidRDefault="00B76603" w:rsidP="00B76603">
            <w:pPr>
              <w:autoSpaceDE w:val="0"/>
              <w:autoSpaceDN w:val="0"/>
              <w:adjustRightInd w:val="0"/>
              <w:spacing w:after="0"/>
              <w:rPr>
                <w:rFonts w:ascii="Arial" w:hAnsi="Arial" w:cs="Arial"/>
                <w:color w:val="000000"/>
                <w:sz w:val="20"/>
                <w:szCs w:val="20"/>
              </w:rPr>
            </w:pPr>
            <w:r w:rsidRPr="00545DCF">
              <w:rPr>
                <w:rFonts w:ascii="Arial" w:hAnsi="Arial" w:cs="Arial"/>
                <w:color w:val="000000"/>
                <w:sz w:val="20"/>
                <w:szCs w:val="20"/>
              </w:rPr>
              <w:t>21 CFR 312.50 Gener</w:t>
            </w:r>
            <w:r>
              <w:rPr>
                <w:rFonts w:ascii="Arial" w:hAnsi="Arial" w:cs="Arial"/>
                <w:color w:val="000000"/>
                <w:sz w:val="20"/>
                <w:szCs w:val="20"/>
              </w:rPr>
              <w:t>al Responsibilities of Sponsors;</w:t>
            </w:r>
          </w:p>
          <w:p w14:paraId="4A9E0615" w14:textId="65323429" w:rsidR="00B76603"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 xml:space="preserve">21 CFR 312.59 Disposition of unused supply of investigational drug; </w:t>
            </w:r>
          </w:p>
          <w:p w14:paraId="2B5C253A" w14:textId="19157879" w:rsidR="00B76603"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 xml:space="preserve">21 CFR 312.60 General </w:t>
            </w:r>
            <w:r w:rsidRPr="00545DCF">
              <w:rPr>
                <w:rFonts w:ascii="Arial" w:hAnsi="Arial" w:cs="Arial"/>
                <w:color w:val="000000"/>
                <w:sz w:val="20"/>
                <w:szCs w:val="20"/>
              </w:rPr>
              <w:t>Re</w:t>
            </w:r>
            <w:r>
              <w:rPr>
                <w:rFonts w:ascii="Arial" w:hAnsi="Arial" w:cs="Arial"/>
                <w:color w:val="000000"/>
                <w:sz w:val="20"/>
                <w:szCs w:val="20"/>
              </w:rPr>
              <w:t>sponsibilities of Investigators;</w:t>
            </w:r>
          </w:p>
          <w:p w14:paraId="090CF47F" w14:textId="67BB76CC" w:rsidR="00B76603"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21 CFR 312.62 Investigator recordkeeping and record retention;</w:t>
            </w:r>
          </w:p>
          <w:p w14:paraId="510C581E" w14:textId="12EDDFAD" w:rsidR="00B76603" w:rsidRPr="00545DCF" w:rsidRDefault="00B76603" w:rsidP="00B76603">
            <w:pPr>
              <w:autoSpaceDE w:val="0"/>
              <w:autoSpaceDN w:val="0"/>
              <w:adjustRightInd w:val="0"/>
              <w:spacing w:after="0"/>
              <w:ind w:left="2880" w:hanging="2880"/>
              <w:rPr>
                <w:rFonts w:ascii="Arial" w:hAnsi="Arial" w:cs="Arial"/>
                <w:color w:val="000000"/>
                <w:sz w:val="20"/>
                <w:szCs w:val="20"/>
              </w:rPr>
            </w:pPr>
            <w:r>
              <w:rPr>
                <w:rFonts w:ascii="Arial" w:hAnsi="Arial" w:cs="Arial"/>
                <w:color w:val="000000"/>
                <w:sz w:val="20"/>
                <w:szCs w:val="20"/>
              </w:rPr>
              <w:t xml:space="preserve">21 </w:t>
            </w:r>
            <w:r w:rsidR="000B7863">
              <w:rPr>
                <w:rFonts w:ascii="Arial" w:hAnsi="Arial" w:cs="Arial"/>
                <w:color w:val="000000"/>
                <w:sz w:val="20"/>
                <w:szCs w:val="20"/>
              </w:rPr>
              <w:t>CFR 312.64 I</w:t>
            </w:r>
            <w:r>
              <w:rPr>
                <w:rFonts w:ascii="Arial" w:hAnsi="Arial" w:cs="Arial"/>
                <w:color w:val="000000"/>
                <w:sz w:val="20"/>
                <w:szCs w:val="20"/>
              </w:rPr>
              <w:t>nvestigator reports;</w:t>
            </w:r>
          </w:p>
          <w:p w14:paraId="619D68A3" w14:textId="43497872" w:rsidR="00B76603" w:rsidRPr="00545DCF" w:rsidRDefault="00B76603" w:rsidP="00B76603">
            <w:pPr>
              <w:autoSpaceDE w:val="0"/>
              <w:autoSpaceDN w:val="0"/>
              <w:adjustRightInd w:val="0"/>
              <w:spacing w:after="0"/>
              <w:ind w:left="2880" w:hanging="2880"/>
              <w:rPr>
                <w:rFonts w:ascii="Arial" w:hAnsi="Arial" w:cs="Arial"/>
                <w:color w:val="000000"/>
                <w:sz w:val="20"/>
                <w:szCs w:val="20"/>
              </w:rPr>
            </w:pPr>
            <w:r w:rsidRPr="00545DCF">
              <w:rPr>
                <w:rFonts w:ascii="Arial" w:hAnsi="Arial" w:cs="Arial"/>
                <w:color w:val="000000"/>
                <w:sz w:val="20"/>
                <w:szCs w:val="20"/>
              </w:rPr>
              <w:t>21 CFR 312.66 Assurance of IRB Rev</w:t>
            </w:r>
            <w:r>
              <w:rPr>
                <w:rFonts w:ascii="Arial" w:hAnsi="Arial" w:cs="Arial"/>
                <w:color w:val="000000"/>
                <w:sz w:val="20"/>
                <w:szCs w:val="20"/>
              </w:rPr>
              <w:t>iew;</w:t>
            </w:r>
          </w:p>
          <w:p w14:paraId="6EC42B13" w14:textId="749E7412" w:rsidR="00B76603" w:rsidRPr="00545DCF" w:rsidRDefault="00B76603" w:rsidP="00B76603">
            <w:pPr>
              <w:autoSpaceDE w:val="0"/>
              <w:autoSpaceDN w:val="0"/>
              <w:adjustRightInd w:val="0"/>
              <w:spacing w:after="0"/>
              <w:ind w:left="2880" w:hanging="2880"/>
              <w:rPr>
                <w:rFonts w:ascii="Arial" w:hAnsi="Arial" w:cs="Arial"/>
                <w:color w:val="000000"/>
                <w:sz w:val="20"/>
                <w:szCs w:val="20"/>
              </w:rPr>
            </w:pPr>
            <w:r w:rsidRPr="00545DCF">
              <w:rPr>
                <w:rFonts w:ascii="Arial" w:hAnsi="Arial" w:cs="Arial"/>
                <w:color w:val="000000"/>
                <w:sz w:val="20"/>
                <w:szCs w:val="20"/>
              </w:rPr>
              <w:t>21 CFR 312.68 Inspection of Investigator’s Records and Reports</w:t>
            </w:r>
            <w:r>
              <w:rPr>
                <w:rFonts w:ascii="Arial" w:hAnsi="Arial" w:cs="Arial"/>
                <w:color w:val="000000"/>
                <w:sz w:val="20"/>
                <w:szCs w:val="20"/>
              </w:rPr>
              <w:t>;</w:t>
            </w:r>
            <w:r w:rsidRPr="00545DCF">
              <w:rPr>
                <w:rFonts w:ascii="Arial" w:hAnsi="Arial" w:cs="Arial"/>
                <w:color w:val="000000"/>
                <w:sz w:val="20"/>
                <w:szCs w:val="20"/>
              </w:rPr>
              <w:t xml:space="preserve"> </w:t>
            </w:r>
          </w:p>
          <w:p w14:paraId="76B56D63" w14:textId="7DD7BB64" w:rsidR="00B76603" w:rsidRDefault="00B76603" w:rsidP="00B76603">
            <w:pPr>
              <w:autoSpaceDE w:val="0"/>
              <w:autoSpaceDN w:val="0"/>
              <w:adjustRightInd w:val="0"/>
              <w:spacing w:after="0"/>
              <w:rPr>
                <w:rFonts w:ascii="Arial" w:hAnsi="Arial" w:cs="Arial"/>
                <w:color w:val="000000"/>
                <w:sz w:val="20"/>
                <w:szCs w:val="20"/>
              </w:rPr>
            </w:pPr>
            <w:r w:rsidRPr="00545DCF">
              <w:rPr>
                <w:rFonts w:ascii="Arial" w:hAnsi="Arial" w:cs="Arial"/>
                <w:color w:val="000000"/>
                <w:sz w:val="20"/>
                <w:szCs w:val="20"/>
              </w:rPr>
              <w:t xml:space="preserve">FDA Sheet: </w:t>
            </w:r>
            <w:r>
              <w:rPr>
                <w:rFonts w:ascii="Arial" w:hAnsi="Arial" w:cs="Arial"/>
                <w:color w:val="000000"/>
                <w:sz w:val="20"/>
                <w:szCs w:val="20"/>
              </w:rPr>
              <w:t xml:space="preserve">January 1988 </w:t>
            </w:r>
            <w:r w:rsidRPr="00545DCF">
              <w:rPr>
                <w:rFonts w:ascii="Arial" w:hAnsi="Arial" w:cs="Arial"/>
                <w:color w:val="000000"/>
                <w:sz w:val="20"/>
                <w:szCs w:val="20"/>
              </w:rPr>
              <w:t>Guidelines for Monitoring of Clinical Investigations</w:t>
            </w:r>
            <w:r>
              <w:rPr>
                <w:rFonts w:ascii="Arial" w:hAnsi="Arial" w:cs="Arial"/>
                <w:color w:val="000000"/>
                <w:sz w:val="20"/>
                <w:szCs w:val="20"/>
              </w:rPr>
              <w:t>;</w:t>
            </w:r>
          </w:p>
          <w:p w14:paraId="293267FA" w14:textId="3874A16A" w:rsidR="00B76603" w:rsidRDefault="00B76603" w:rsidP="00B7660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May 1997 International Conference on </w:t>
            </w:r>
            <w:r w:rsidR="000B7863">
              <w:rPr>
                <w:rFonts w:ascii="Arial" w:hAnsi="Arial" w:cs="Arial"/>
                <w:color w:val="000000"/>
                <w:sz w:val="20"/>
                <w:szCs w:val="20"/>
              </w:rPr>
              <w:t>Harmoniz</w:t>
            </w:r>
            <w:r>
              <w:rPr>
                <w:rFonts w:ascii="Arial" w:hAnsi="Arial" w:cs="Arial"/>
                <w:color w:val="000000"/>
                <w:sz w:val="20"/>
                <w:szCs w:val="20"/>
              </w:rPr>
              <w:t>at</w:t>
            </w:r>
            <w:r w:rsidRPr="008041A5">
              <w:rPr>
                <w:rFonts w:ascii="Arial" w:hAnsi="Arial" w:cs="Arial"/>
                <w:color w:val="000000"/>
                <w:sz w:val="20"/>
                <w:szCs w:val="20"/>
              </w:rPr>
              <w:t>ion (ICH) Good Clinical Practices</w:t>
            </w:r>
            <w:r>
              <w:rPr>
                <w:rFonts w:ascii="Arial" w:hAnsi="Arial" w:cs="Arial"/>
                <w:color w:val="000000"/>
                <w:sz w:val="20"/>
                <w:szCs w:val="20"/>
              </w:rPr>
              <w:t>;</w:t>
            </w:r>
          </w:p>
          <w:p w14:paraId="0DCBA2C9" w14:textId="57E0CDC0" w:rsidR="00B76603" w:rsidRPr="008041A5" w:rsidRDefault="00B76603" w:rsidP="00B76603">
            <w:pPr>
              <w:autoSpaceDE w:val="0"/>
              <w:autoSpaceDN w:val="0"/>
              <w:adjustRightInd w:val="0"/>
              <w:spacing w:after="0"/>
              <w:rPr>
                <w:rFonts w:ascii="Arial" w:hAnsi="Arial" w:cs="Arial"/>
                <w:color w:val="000000"/>
                <w:sz w:val="20"/>
                <w:szCs w:val="20"/>
              </w:rPr>
            </w:pPr>
            <w:r w:rsidRPr="008041A5">
              <w:rPr>
                <w:rFonts w:ascii="Arial" w:hAnsi="Arial" w:cs="Arial"/>
                <w:sz w:val="20"/>
                <w:szCs w:val="20"/>
              </w:rPr>
              <w:t xml:space="preserve">CIRP </w:t>
            </w:r>
            <w:r w:rsidR="00D62BE4">
              <w:rPr>
                <w:rFonts w:ascii="Arial" w:hAnsi="Arial" w:cs="Arial"/>
                <w:sz w:val="20"/>
                <w:szCs w:val="20"/>
              </w:rPr>
              <w:t>Policy</w:t>
            </w:r>
            <w:r w:rsidR="000B7863">
              <w:rPr>
                <w:rFonts w:ascii="Arial" w:hAnsi="Arial" w:cs="Arial"/>
                <w:sz w:val="20"/>
                <w:szCs w:val="20"/>
              </w:rPr>
              <w:t xml:space="preserve">: </w:t>
            </w:r>
            <w:r w:rsidRPr="008041A5">
              <w:rPr>
                <w:rFonts w:ascii="Arial" w:hAnsi="Arial" w:cs="Arial"/>
                <w:sz w:val="20"/>
                <w:szCs w:val="20"/>
              </w:rPr>
              <w:t>Disposal and Destruction of I</w:t>
            </w:r>
            <w:r w:rsidR="000B7863">
              <w:rPr>
                <w:rFonts w:ascii="Arial" w:hAnsi="Arial" w:cs="Arial"/>
                <w:sz w:val="20"/>
                <w:szCs w:val="20"/>
              </w:rPr>
              <w:t>nvestigational Product</w:t>
            </w:r>
          </w:p>
          <w:p w14:paraId="5830BF00" w14:textId="5E113ACF" w:rsidR="00B76603" w:rsidRPr="008041A5" w:rsidRDefault="00D62BE4" w:rsidP="00B76603">
            <w:pPr>
              <w:autoSpaceDE w:val="0"/>
              <w:autoSpaceDN w:val="0"/>
              <w:adjustRightInd w:val="0"/>
              <w:spacing w:after="0"/>
              <w:rPr>
                <w:rFonts w:ascii="Arial" w:hAnsi="Arial" w:cs="Arial"/>
                <w:b/>
                <w:bCs/>
                <w:sz w:val="20"/>
                <w:szCs w:val="20"/>
              </w:rPr>
            </w:pPr>
            <w:r>
              <w:rPr>
                <w:rFonts w:ascii="Arial" w:hAnsi="Arial" w:cs="Arial"/>
                <w:sz w:val="20"/>
                <w:szCs w:val="20"/>
              </w:rPr>
              <w:t xml:space="preserve">USF HRPP Policy and Procedure Manual: </w:t>
            </w:r>
            <w:r w:rsidR="00B76603" w:rsidRPr="008041A5">
              <w:rPr>
                <w:rFonts w:ascii="Arial" w:hAnsi="Arial" w:cs="Arial"/>
                <w:iCs/>
                <w:sz w:val="20"/>
                <w:szCs w:val="20"/>
              </w:rPr>
              <w:t>Records Retention and Accessibility</w:t>
            </w:r>
          </w:p>
          <w:p w14:paraId="33796FF2" w14:textId="3AD903D6" w:rsidR="00B76603" w:rsidRPr="00CC334F" w:rsidRDefault="00B76603" w:rsidP="00AE608E">
            <w:pPr>
              <w:autoSpaceDE w:val="0"/>
              <w:autoSpaceDN w:val="0"/>
              <w:adjustRightInd w:val="0"/>
              <w:spacing w:before="4" w:after="0" w:line="240" w:lineRule="auto"/>
              <w:ind w:right="-20"/>
              <w:rPr>
                <w:rFonts w:ascii="Arial" w:hAnsi="Arial" w:cs="Arial"/>
                <w:sz w:val="20"/>
                <w:szCs w:val="20"/>
              </w:rPr>
            </w:pPr>
          </w:p>
          <w:p w14:paraId="54C86F8E" w14:textId="77777777" w:rsidR="00B76603" w:rsidRPr="001A559D" w:rsidRDefault="00B76603" w:rsidP="00AE608E">
            <w:pPr>
              <w:autoSpaceDE w:val="0"/>
              <w:autoSpaceDN w:val="0"/>
              <w:adjustRightInd w:val="0"/>
              <w:spacing w:before="4" w:after="0" w:line="240" w:lineRule="auto"/>
              <w:ind w:right="-20"/>
              <w:rPr>
                <w:rFonts w:ascii="Arial" w:hAnsi="Arial" w:cs="Arial"/>
              </w:rPr>
            </w:pPr>
          </w:p>
        </w:tc>
      </w:tr>
      <w:tr w:rsidR="00B76603" w:rsidRPr="00FA6586" w14:paraId="23E88D5D" w14:textId="77777777" w:rsidTr="00B76603">
        <w:trPr>
          <w:trHeight w:hRule="exact" w:val="265"/>
        </w:trPr>
        <w:tc>
          <w:tcPr>
            <w:tcW w:w="2345" w:type="dxa"/>
            <w:tcBorders>
              <w:top w:val="single" w:sz="4" w:space="0" w:color="000000"/>
              <w:left w:val="single" w:sz="4" w:space="0" w:color="000000"/>
              <w:bottom w:val="single" w:sz="4" w:space="0" w:color="000000"/>
              <w:right w:val="single" w:sz="4" w:space="0" w:color="000000"/>
            </w:tcBorders>
          </w:tcPr>
          <w:p w14:paraId="630BF328" w14:textId="77777777" w:rsidR="00B76603" w:rsidRPr="001A559D" w:rsidRDefault="00B76603" w:rsidP="00AE608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5C7C3420" w14:textId="77777777" w:rsidR="00B76603" w:rsidRPr="001A559D" w:rsidRDefault="00B76603" w:rsidP="00AE608E">
            <w:pPr>
              <w:autoSpaceDE w:val="0"/>
              <w:autoSpaceDN w:val="0"/>
              <w:adjustRightInd w:val="0"/>
              <w:spacing w:after="0" w:line="240" w:lineRule="auto"/>
              <w:rPr>
                <w:rFonts w:ascii="Arial" w:hAnsi="Arial" w:cs="Arial"/>
              </w:rPr>
            </w:pPr>
          </w:p>
        </w:tc>
      </w:tr>
      <w:tr w:rsidR="00B76603" w:rsidRPr="00FA6586" w14:paraId="41B22D78" w14:textId="77777777" w:rsidTr="00B76603">
        <w:trPr>
          <w:trHeight w:hRule="exact" w:val="265"/>
        </w:trPr>
        <w:tc>
          <w:tcPr>
            <w:tcW w:w="2345" w:type="dxa"/>
            <w:tcBorders>
              <w:top w:val="single" w:sz="4" w:space="0" w:color="000000"/>
              <w:left w:val="single" w:sz="4" w:space="0" w:color="000000"/>
              <w:bottom w:val="single" w:sz="4" w:space="0" w:color="000000"/>
              <w:right w:val="single" w:sz="4" w:space="0" w:color="000000"/>
            </w:tcBorders>
          </w:tcPr>
          <w:p w14:paraId="2B83E52E" w14:textId="77777777" w:rsidR="00B76603" w:rsidRPr="001A559D" w:rsidRDefault="00B76603" w:rsidP="00AE608E">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7DFBD89E" w14:textId="3D3D0A6E" w:rsidR="00B76603" w:rsidRPr="001A559D" w:rsidRDefault="00B76603" w:rsidP="00AE608E">
            <w:pPr>
              <w:autoSpaceDE w:val="0"/>
              <w:autoSpaceDN w:val="0"/>
              <w:adjustRightInd w:val="0"/>
              <w:spacing w:before="4" w:after="0" w:line="240" w:lineRule="auto"/>
              <w:ind w:right="-20"/>
              <w:rPr>
                <w:rFonts w:ascii="Arial" w:hAnsi="Arial" w:cs="Arial"/>
              </w:rPr>
            </w:pPr>
            <w:r>
              <w:rPr>
                <w:rFonts w:ascii="Arial" w:hAnsi="Arial" w:cs="Arial"/>
                <w:sz w:val="20"/>
                <w:szCs w:val="20"/>
              </w:rPr>
              <w:t>SOP #201: Regulatory Documentation</w:t>
            </w:r>
          </w:p>
        </w:tc>
      </w:tr>
      <w:tr w:rsidR="00B76603" w:rsidRPr="00FA6586" w14:paraId="5C432D0C" w14:textId="77777777" w:rsidTr="00B76603">
        <w:trPr>
          <w:trHeight w:hRule="exact" w:val="220"/>
        </w:trPr>
        <w:tc>
          <w:tcPr>
            <w:tcW w:w="2345" w:type="dxa"/>
            <w:tcBorders>
              <w:top w:val="single" w:sz="4" w:space="0" w:color="000000"/>
              <w:left w:val="single" w:sz="4" w:space="0" w:color="000000"/>
              <w:bottom w:val="single" w:sz="4" w:space="0" w:color="000000"/>
              <w:right w:val="single" w:sz="4" w:space="0" w:color="000000"/>
            </w:tcBorders>
          </w:tcPr>
          <w:p w14:paraId="6B872909" w14:textId="77777777" w:rsidR="00B76603" w:rsidRPr="001A559D" w:rsidRDefault="00B76603" w:rsidP="00AE608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3B3E334F" w14:textId="77777777" w:rsidR="00B76603" w:rsidRPr="001A559D" w:rsidRDefault="00B76603" w:rsidP="00AE608E">
            <w:pPr>
              <w:autoSpaceDE w:val="0"/>
              <w:autoSpaceDN w:val="0"/>
              <w:adjustRightInd w:val="0"/>
              <w:spacing w:after="0" w:line="240" w:lineRule="auto"/>
              <w:rPr>
                <w:rFonts w:ascii="Arial" w:hAnsi="Arial" w:cs="Arial"/>
              </w:rPr>
            </w:pPr>
          </w:p>
        </w:tc>
      </w:tr>
      <w:tr w:rsidR="00B76603" w:rsidRPr="00FA6586" w14:paraId="17E344E9" w14:textId="77777777" w:rsidTr="00B76603">
        <w:trPr>
          <w:trHeight w:hRule="exact" w:val="271"/>
        </w:trPr>
        <w:tc>
          <w:tcPr>
            <w:tcW w:w="2345" w:type="dxa"/>
            <w:tcBorders>
              <w:top w:val="single" w:sz="4" w:space="0" w:color="000000"/>
              <w:left w:val="single" w:sz="4" w:space="0" w:color="000000"/>
              <w:bottom w:val="single" w:sz="4" w:space="0" w:color="000000"/>
              <w:right w:val="single" w:sz="4" w:space="0" w:color="000000"/>
            </w:tcBorders>
          </w:tcPr>
          <w:p w14:paraId="18240CEA" w14:textId="77777777" w:rsidR="00B76603" w:rsidRPr="001A559D" w:rsidRDefault="00B76603" w:rsidP="00AE608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3A102189" w14:textId="2F31525B" w:rsidR="00B76603" w:rsidRPr="00F22BAA" w:rsidRDefault="00B76603" w:rsidP="00C61CA3">
            <w:pPr>
              <w:autoSpaceDE w:val="0"/>
              <w:autoSpaceDN w:val="0"/>
              <w:adjustRightInd w:val="0"/>
              <w:spacing w:before="4" w:after="0" w:line="240" w:lineRule="auto"/>
              <w:ind w:right="-20"/>
              <w:rPr>
                <w:rFonts w:ascii="Arial" w:hAnsi="Arial" w:cs="Arial"/>
                <w:sz w:val="20"/>
                <w:szCs w:val="20"/>
              </w:rPr>
            </w:pPr>
            <w:r w:rsidRPr="00952B23">
              <w:rPr>
                <w:rFonts w:ascii="Arial" w:hAnsi="Arial" w:cs="Arial"/>
                <w:sz w:val="20"/>
                <w:szCs w:val="20"/>
              </w:rPr>
              <w:t xml:space="preserve">Appendix </w:t>
            </w:r>
            <w:r w:rsidR="00952B23" w:rsidRPr="00952B23">
              <w:rPr>
                <w:rFonts w:ascii="Arial" w:hAnsi="Arial" w:cs="Arial"/>
                <w:sz w:val="20"/>
                <w:szCs w:val="20"/>
              </w:rPr>
              <w:t>W</w:t>
            </w:r>
            <w:r w:rsidR="005F1F59">
              <w:rPr>
                <w:rFonts w:ascii="Arial" w:hAnsi="Arial" w:cs="Arial"/>
                <w:sz w:val="20"/>
                <w:szCs w:val="20"/>
              </w:rPr>
              <w:t>: Site</w:t>
            </w:r>
            <w:r w:rsidR="00DD356E">
              <w:rPr>
                <w:rFonts w:ascii="Arial" w:hAnsi="Arial" w:cs="Arial"/>
                <w:sz w:val="20"/>
                <w:szCs w:val="20"/>
              </w:rPr>
              <w:t xml:space="preserve"> Close-Out </w:t>
            </w:r>
            <w:r w:rsidRPr="00952B23">
              <w:rPr>
                <w:rFonts w:ascii="Arial" w:hAnsi="Arial" w:cs="Arial"/>
                <w:sz w:val="20"/>
                <w:szCs w:val="20"/>
              </w:rPr>
              <w:t>Checklist</w:t>
            </w:r>
          </w:p>
        </w:tc>
      </w:tr>
      <w:tr w:rsidR="00B76603" w:rsidRPr="00FA6586" w14:paraId="4EDC7F19" w14:textId="77777777" w:rsidTr="00B76603">
        <w:trPr>
          <w:trHeight w:hRule="exact" w:val="280"/>
        </w:trPr>
        <w:tc>
          <w:tcPr>
            <w:tcW w:w="2345" w:type="dxa"/>
            <w:tcBorders>
              <w:top w:val="single" w:sz="4" w:space="0" w:color="000000"/>
              <w:left w:val="single" w:sz="4" w:space="0" w:color="000000"/>
              <w:bottom w:val="single" w:sz="4" w:space="0" w:color="000000"/>
              <w:right w:val="single" w:sz="4" w:space="0" w:color="000000"/>
            </w:tcBorders>
          </w:tcPr>
          <w:p w14:paraId="04D764B5" w14:textId="77777777" w:rsidR="00B76603" w:rsidRPr="001A559D" w:rsidRDefault="00B76603" w:rsidP="00AE608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563F20DC" w14:textId="77777777" w:rsidR="00B76603" w:rsidRPr="001A559D" w:rsidRDefault="00B76603" w:rsidP="00AE608E">
            <w:pPr>
              <w:autoSpaceDE w:val="0"/>
              <w:autoSpaceDN w:val="0"/>
              <w:adjustRightInd w:val="0"/>
              <w:spacing w:after="0" w:line="240" w:lineRule="auto"/>
              <w:rPr>
                <w:rFonts w:ascii="Arial" w:hAnsi="Arial" w:cs="Arial"/>
              </w:rPr>
            </w:pPr>
          </w:p>
        </w:tc>
      </w:tr>
      <w:tr w:rsidR="00B76603" w:rsidRPr="00FA6586" w14:paraId="715F5F97" w14:textId="77777777" w:rsidTr="00AE608E">
        <w:trPr>
          <w:trHeight w:hRule="exact" w:val="1687"/>
        </w:trPr>
        <w:tc>
          <w:tcPr>
            <w:tcW w:w="9365" w:type="dxa"/>
            <w:gridSpan w:val="2"/>
            <w:tcBorders>
              <w:top w:val="single" w:sz="4" w:space="0" w:color="000000"/>
              <w:left w:val="single" w:sz="4" w:space="0" w:color="000000"/>
              <w:bottom w:val="single" w:sz="4" w:space="0" w:color="000000"/>
              <w:right w:val="single" w:sz="4" w:space="0" w:color="000000"/>
            </w:tcBorders>
          </w:tcPr>
          <w:p w14:paraId="7C04C07D" w14:textId="77777777" w:rsidR="00B76603" w:rsidRDefault="00B76603" w:rsidP="00AE608E">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5D597684" w14:textId="77777777" w:rsidR="00B76603" w:rsidRPr="00433679" w:rsidRDefault="00B76603" w:rsidP="00AE608E">
            <w:pPr>
              <w:autoSpaceDE w:val="0"/>
              <w:autoSpaceDN w:val="0"/>
              <w:adjustRightInd w:val="0"/>
              <w:spacing w:after="0" w:line="240" w:lineRule="auto"/>
              <w:ind w:right="-20"/>
              <w:rPr>
                <w:rFonts w:ascii="Arial" w:hAnsi="Arial" w:cs="Arial"/>
              </w:rPr>
            </w:pPr>
          </w:p>
          <w:tbl>
            <w:tblPr>
              <w:tblStyle w:val="TableGrid"/>
              <w:tblW w:w="9804" w:type="dxa"/>
              <w:tblInd w:w="1" w:type="dxa"/>
              <w:tblLayout w:type="fixed"/>
              <w:tblLook w:val="04A0" w:firstRow="1" w:lastRow="0" w:firstColumn="1" w:lastColumn="0" w:noHBand="0" w:noVBand="1"/>
            </w:tblPr>
            <w:tblGrid>
              <w:gridCol w:w="3164"/>
              <w:gridCol w:w="3164"/>
              <w:gridCol w:w="3476"/>
            </w:tblGrid>
            <w:tr w:rsidR="00B76603" w14:paraId="11D17FFD" w14:textId="77777777" w:rsidTr="00AE608E">
              <w:trPr>
                <w:trHeight w:val="309"/>
              </w:trPr>
              <w:tc>
                <w:tcPr>
                  <w:tcW w:w="3164" w:type="dxa"/>
                </w:tcPr>
                <w:p w14:paraId="4C249093" w14:textId="77777777" w:rsidR="00B76603" w:rsidRDefault="00B76603" w:rsidP="005D42F2">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31CB4373" w14:textId="77777777" w:rsidR="00B76603" w:rsidRDefault="00B76603" w:rsidP="005D42F2">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76" w:type="dxa"/>
                </w:tcPr>
                <w:p w14:paraId="5DE769C5" w14:textId="77777777" w:rsidR="00B76603" w:rsidRDefault="00B76603" w:rsidP="005D42F2">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B76603" w14:paraId="72959CD5" w14:textId="77777777" w:rsidTr="005D42F2">
              <w:trPr>
                <w:trHeight w:val="279"/>
              </w:trPr>
              <w:tc>
                <w:tcPr>
                  <w:tcW w:w="3164" w:type="dxa"/>
                </w:tcPr>
                <w:p w14:paraId="2D27C316" w14:textId="7ADB7086" w:rsidR="00B76603" w:rsidRDefault="00B76603" w:rsidP="005D42F2">
                  <w:pPr>
                    <w:framePr w:hSpace="180" w:wrap="around" w:vAnchor="text" w:hAnchor="margin" w:x="10" w:y="53"/>
                    <w:autoSpaceDE w:val="0"/>
                    <w:autoSpaceDN w:val="0"/>
                    <w:adjustRightInd w:val="0"/>
                    <w:ind w:right="-20"/>
                    <w:rPr>
                      <w:rFonts w:ascii="Arial" w:hAnsi="Arial" w:cs="Arial"/>
                      <w:b/>
                    </w:rPr>
                  </w:pPr>
                </w:p>
              </w:tc>
              <w:tc>
                <w:tcPr>
                  <w:tcW w:w="3164" w:type="dxa"/>
                  <w:vAlign w:val="center"/>
                </w:tcPr>
                <w:p w14:paraId="6973E2FB" w14:textId="1AFA621A" w:rsidR="00B76603" w:rsidRDefault="005D42F2" w:rsidP="005D42F2">
                  <w:pPr>
                    <w:framePr w:hSpace="180" w:wrap="around" w:vAnchor="text" w:hAnchor="margin" w:x="10" w:y="53"/>
                    <w:autoSpaceDE w:val="0"/>
                    <w:autoSpaceDN w:val="0"/>
                    <w:adjustRightInd w:val="0"/>
                    <w:ind w:right="-20"/>
                    <w:jc w:val="center"/>
                    <w:rPr>
                      <w:rFonts w:ascii="Arial" w:hAnsi="Arial" w:cs="Arial"/>
                      <w:b/>
                    </w:rPr>
                  </w:pPr>
                  <w:r>
                    <w:rPr>
                      <w:rFonts w:ascii="Arial" w:hAnsi="Arial" w:cs="Arial"/>
                      <w:b/>
                    </w:rPr>
                    <w:t>01/29/2017</w:t>
                  </w:r>
                </w:p>
              </w:tc>
              <w:tc>
                <w:tcPr>
                  <w:tcW w:w="3476" w:type="dxa"/>
                </w:tcPr>
                <w:p w14:paraId="1DD795AC" w14:textId="4F78B1D9" w:rsidR="00B76603" w:rsidRDefault="00B76603" w:rsidP="005D42F2">
                  <w:pPr>
                    <w:framePr w:hSpace="180" w:wrap="around" w:vAnchor="text" w:hAnchor="margin" w:x="10" w:y="53"/>
                    <w:autoSpaceDE w:val="0"/>
                    <w:autoSpaceDN w:val="0"/>
                    <w:adjustRightInd w:val="0"/>
                    <w:ind w:right="-20"/>
                    <w:rPr>
                      <w:rFonts w:ascii="Arial" w:hAnsi="Arial" w:cs="Arial"/>
                      <w:b/>
                    </w:rPr>
                  </w:pPr>
                </w:p>
              </w:tc>
            </w:tr>
            <w:tr w:rsidR="00B76603" w14:paraId="5B8F1D98" w14:textId="77777777" w:rsidTr="00AE608E">
              <w:trPr>
                <w:trHeight w:val="279"/>
              </w:trPr>
              <w:tc>
                <w:tcPr>
                  <w:tcW w:w="3164" w:type="dxa"/>
                </w:tcPr>
                <w:p w14:paraId="70AE7DCE" w14:textId="77777777" w:rsidR="00B76603" w:rsidRDefault="00B76603" w:rsidP="005D42F2">
                  <w:pPr>
                    <w:framePr w:hSpace="180" w:wrap="around" w:vAnchor="text" w:hAnchor="margin" w:x="10" w:y="53"/>
                    <w:autoSpaceDE w:val="0"/>
                    <w:autoSpaceDN w:val="0"/>
                    <w:adjustRightInd w:val="0"/>
                    <w:ind w:right="-20"/>
                    <w:rPr>
                      <w:rFonts w:ascii="Arial" w:hAnsi="Arial" w:cs="Arial"/>
                      <w:b/>
                    </w:rPr>
                  </w:pPr>
                </w:p>
              </w:tc>
              <w:tc>
                <w:tcPr>
                  <w:tcW w:w="3164" w:type="dxa"/>
                </w:tcPr>
                <w:p w14:paraId="711D2D5C" w14:textId="77777777" w:rsidR="00B76603" w:rsidRDefault="00B76603" w:rsidP="005D42F2">
                  <w:pPr>
                    <w:framePr w:hSpace="180" w:wrap="around" w:vAnchor="text" w:hAnchor="margin" w:x="10" w:y="53"/>
                    <w:autoSpaceDE w:val="0"/>
                    <w:autoSpaceDN w:val="0"/>
                    <w:adjustRightInd w:val="0"/>
                    <w:ind w:right="-20"/>
                    <w:rPr>
                      <w:rFonts w:ascii="Arial" w:hAnsi="Arial" w:cs="Arial"/>
                      <w:b/>
                    </w:rPr>
                  </w:pPr>
                </w:p>
              </w:tc>
              <w:tc>
                <w:tcPr>
                  <w:tcW w:w="3476" w:type="dxa"/>
                </w:tcPr>
                <w:p w14:paraId="0762276C" w14:textId="77777777" w:rsidR="00B76603" w:rsidRDefault="00B76603" w:rsidP="005D42F2">
                  <w:pPr>
                    <w:framePr w:hSpace="180" w:wrap="around" w:vAnchor="text" w:hAnchor="margin" w:x="10" w:y="53"/>
                    <w:autoSpaceDE w:val="0"/>
                    <w:autoSpaceDN w:val="0"/>
                    <w:adjustRightInd w:val="0"/>
                    <w:ind w:right="-20"/>
                    <w:rPr>
                      <w:rFonts w:ascii="Arial" w:hAnsi="Arial" w:cs="Arial"/>
                      <w:b/>
                    </w:rPr>
                  </w:pPr>
                </w:p>
              </w:tc>
            </w:tr>
          </w:tbl>
          <w:p w14:paraId="1C6F3560" w14:textId="77777777" w:rsidR="00B76603" w:rsidRPr="00D342C1" w:rsidRDefault="00B76603" w:rsidP="00AE608E">
            <w:pPr>
              <w:autoSpaceDE w:val="0"/>
              <w:autoSpaceDN w:val="0"/>
              <w:adjustRightInd w:val="0"/>
              <w:spacing w:after="0" w:line="240" w:lineRule="auto"/>
              <w:ind w:right="-20"/>
              <w:rPr>
                <w:rFonts w:ascii="Arial" w:hAnsi="Arial" w:cs="Arial"/>
                <w:b/>
              </w:rPr>
            </w:pPr>
          </w:p>
        </w:tc>
      </w:tr>
    </w:tbl>
    <w:p w14:paraId="49F5D52B" w14:textId="77777777" w:rsidR="004D5448" w:rsidRDefault="004D5448" w:rsidP="004D5448">
      <w:pPr>
        <w:rPr>
          <w:rFonts w:ascii="Times New Roman" w:hAnsi="Times New Roman" w:cs="Times New Roman"/>
          <w:sz w:val="24"/>
          <w:szCs w:val="24"/>
        </w:rPr>
      </w:pPr>
      <w:bookmarkStart w:id="0" w:name="_GoBack"/>
      <w:bookmarkEnd w:id="0"/>
    </w:p>
    <w:sectPr w:rsidR="004D5448" w:rsidSect="00C922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EC1A" w14:textId="77777777" w:rsidR="00C717F7" w:rsidRDefault="00C717F7" w:rsidP="00235C05">
      <w:pPr>
        <w:spacing w:after="0" w:line="240" w:lineRule="auto"/>
      </w:pPr>
      <w:r>
        <w:separator/>
      </w:r>
    </w:p>
  </w:endnote>
  <w:endnote w:type="continuationSeparator" w:id="0">
    <w:p w14:paraId="10A51D2A" w14:textId="77777777" w:rsidR="00C717F7" w:rsidRDefault="00C717F7"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4BDB" w14:textId="77777777" w:rsidR="00177C40" w:rsidRDefault="00177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ABC9" w14:textId="77777777" w:rsidR="00177C40" w:rsidRDefault="00177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1A2E" w14:textId="77777777" w:rsidR="00177C40" w:rsidRDefault="0017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D3CD" w14:textId="77777777" w:rsidR="00C717F7" w:rsidRDefault="00C717F7" w:rsidP="00235C05">
      <w:pPr>
        <w:spacing w:after="0" w:line="240" w:lineRule="auto"/>
      </w:pPr>
      <w:r>
        <w:separator/>
      </w:r>
    </w:p>
  </w:footnote>
  <w:footnote w:type="continuationSeparator" w:id="0">
    <w:p w14:paraId="54FA4780" w14:textId="77777777" w:rsidR="00C717F7" w:rsidRDefault="00C717F7"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B2BB" w14:textId="77777777" w:rsidR="00177C40" w:rsidRDefault="00177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C717F7" w14:paraId="5E9E3E22" w14:textId="77777777" w:rsidTr="00AE608E">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0300C57A" w14:textId="77777777" w:rsidR="00C717F7" w:rsidRDefault="00C717F7" w:rsidP="00AE608E">
          <w:pPr>
            <w:autoSpaceDE w:val="0"/>
            <w:autoSpaceDN w:val="0"/>
            <w:adjustRightInd w:val="0"/>
            <w:spacing w:before="4" w:after="0" w:line="240" w:lineRule="auto"/>
            <w:ind w:right="-20"/>
            <w:jc w:val="center"/>
            <w:rPr>
              <w:rFonts w:ascii="Arial" w:hAnsi="Arial" w:cs="Arial"/>
              <w:b/>
              <w:bCs/>
              <w:sz w:val="24"/>
              <w:szCs w:val="24"/>
            </w:rPr>
          </w:pPr>
        </w:p>
        <w:p w14:paraId="4FA47DA9" w14:textId="7089CE99" w:rsidR="00C717F7" w:rsidRPr="0024352A" w:rsidRDefault="00C717F7" w:rsidP="00AE608E">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F17495">
            <w:rPr>
              <w:rFonts w:ascii="Arial" w:hAnsi="Arial" w:cs="Arial"/>
              <w:b/>
              <w:bCs/>
              <w:sz w:val="24"/>
              <w:szCs w:val="24"/>
            </w:rPr>
            <w:t xml:space="preserve"> at Kent State University</w:t>
          </w:r>
        </w:p>
        <w:p w14:paraId="747599E8" w14:textId="77777777" w:rsidR="00C717F7" w:rsidRDefault="00C717F7" w:rsidP="00AE608E">
          <w:pPr>
            <w:autoSpaceDE w:val="0"/>
            <w:autoSpaceDN w:val="0"/>
            <w:adjustRightInd w:val="0"/>
            <w:spacing w:before="4" w:after="0" w:line="240" w:lineRule="auto"/>
            <w:ind w:right="-20"/>
            <w:jc w:val="center"/>
            <w:rPr>
              <w:rFonts w:ascii="Arial" w:hAnsi="Arial" w:cs="Arial"/>
              <w:b/>
              <w:bCs/>
            </w:rPr>
          </w:pPr>
        </w:p>
      </w:tc>
    </w:tr>
    <w:tr w:rsidR="00C717F7" w:rsidRPr="00132C6C" w14:paraId="36678F79" w14:textId="77777777" w:rsidTr="00177C40">
      <w:trPr>
        <w:cantSplit/>
        <w:trHeight w:hRule="exact" w:val="88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77C28B12" w14:textId="5C69D777" w:rsidR="00C717F7" w:rsidRPr="00F93A82" w:rsidRDefault="004D3BE5" w:rsidP="00AE608E">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57EF5F" wp14:editId="5217216B">
                <wp:extent cx="1190625" cy="266700"/>
                <wp:effectExtent l="0" t="0" r="9525" b="0"/>
                <wp:docPr id="2" name="Picture 2"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1F2054F2" w14:textId="4436CC7A" w:rsidR="00C717F7" w:rsidRPr="00132C6C" w:rsidRDefault="00C717F7" w:rsidP="00177C40">
          <w:pPr>
            <w:pStyle w:val="Heading1"/>
            <w:jc w:val="center"/>
            <w:rPr>
              <w:highlight w:val="darkGreen"/>
            </w:rPr>
          </w:pPr>
          <w:r w:rsidRPr="00C717F7">
            <w:t>SITE CLOSE-OUT VISIT</w:t>
          </w:r>
        </w:p>
      </w:tc>
    </w:tr>
    <w:tr w:rsidR="00C717F7" w:rsidRPr="00851AE9" w14:paraId="305600A6" w14:textId="77777777" w:rsidTr="00C717F7">
      <w:trPr>
        <w:cantSplit/>
        <w:trHeight w:hRule="exact" w:val="354"/>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34DC7E68" w14:textId="6F492A9B" w:rsidR="00C717F7" w:rsidRPr="00851AE9" w:rsidRDefault="00C717F7" w:rsidP="00AE608E">
          <w:pPr>
            <w:autoSpaceDE w:val="0"/>
            <w:autoSpaceDN w:val="0"/>
            <w:adjustRightInd w:val="0"/>
            <w:spacing w:after="0" w:line="240" w:lineRule="auto"/>
            <w:ind w:left="95" w:right="-20"/>
            <w:jc w:val="center"/>
            <w:rPr>
              <w:rFonts w:ascii="Arial" w:hAnsi="Arial" w:cs="Arial"/>
              <w:b/>
            </w:rPr>
          </w:pPr>
          <w:r>
            <w:rPr>
              <w:rFonts w:ascii="Arial" w:hAnsi="Arial" w:cs="Arial"/>
              <w:b/>
            </w:rPr>
            <w:t>SOP#: 311</w:t>
          </w:r>
        </w:p>
      </w:tc>
      <w:tc>
        <w:tcPr>
          <w:tcW w:w="1626" w:type="pct"/>
          <w:tcBorders>
            <w:top w:val="single" w:sz="12" w:space="0" w:color="000000"/>
            <w:left w:val="single" w:sz="12" w:space="0" w:color="000000"/>
            <w:bottom w:val="single" w:sz="12" w:space="0" w:color="000000"/>
            <w:right w:val="single" w:sz="4" w:space="0" w:color="auto"/>
          </w:tcBorders>
          <w:vAlign w:val="bottom"/>
        </w:tcPr>
        <w:p w14:paraId="09EA3001" w14:textId="2A4A8FAF" w:rsidR="00C717F7" w:rsidRPr="00851AE9" w:rsidRDefault="00C717F7" w:rsidP="00AE608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F17495">
            <w:rPr>
              <w:rFonts w:ascii="Arial" w:hAnsi="Arial" w:cs="Arial"/>
              <w:b/>
              <w:spacing w:val="2"/>
            </w:rPr>
            <w:t xml:space="preserve"> </w:t>
          </w:r>
        </w:p>
      </w:tc>
      <w:tc>
        <w:tcPr>
          <w:tcW w:w="1187" w:type="pct"/>
          <w:tcBorders>
            <w:top w:val="single" w:sz="12" w:space="0" w:color="000000"/>
            <w:left w:val="single" w:sz="4" w:space="0" w:color="auto"/>
            <w:bottom w:val="single" w:sz="12" w:space="0" w:color="000000"/>
            <w:right w:val="single" w:sz="12" w:space="0" w:color="000000"/>
          </w:tcBorders>
          <w:vAlign w:val="bottom"/>
        </w:tcPr>
        <w:p w14:paraId="78405021" w14:textId="77777777" w:rsidR="00C717F7" w:rsidRPr="00851AE9" w:rsidRDefault="00C717F7" w:rsidP="00AE608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564F03EA" w14:textId="77777777" w:rsidR="00C717F7" w:rsidRPr="00851AE9" w:rsidRDefault="00C717F7" w:rsidP="00AE608E">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5D42F2">
            <w:rPr>
              <w:rFonts w:ascii="Arial" w:hAnsi="Arial" w:cs="Arial"/>
              <w:b/>
              <w:bCs/>
              <w:noProof/>
              <w:spacing w:val="2"/>
            </w:rPr>
            <w:t>4</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5D42F2">
            <w:rPr>
              <w:rFonts w:ascii="Arial" w:hAnsi="Arial" w:cs="Arial"/>
              <w:b/>
              <w:bCs/>
              <w:noProof/>
              <w:spacing w:val="2"/>
            </w:rPr>
            <w:t>4</w:t>
          </w:r>
          <w:r w:rsidRPr="00362E2F">
            <w:rPr>
              <w:rFonts w:ascii="Arial" w:hAnsi="Arial" w:cs="Arial"/>
              <w:b/>
              <w:bCs/>
              <w:spacing w:val="2"/>
            </w:rPr>
            <w:fldChar w:fldCharType="end"/>
          </w:r>
        </w:p>
      </w:tc>
    </w:tr>
  </w:tbl>
  <w:p w14:paraId="49F5D542" w14:textId="014E8AC9" w:rsidR="00C717F7" w:rsidRDefault="00C71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8A28" w14:textId="77777777" w:rsidR="00177C40" w:rsidRDefault="00177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4"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15:restartNumberingAfterBreak="0">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9483457"/>
    <w:multiLevelType w:val="multilevel"/>
    <w:tmpl w:val="A6A0F93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1" w15:restartNumberingAfterBreak="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3"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15:restartNumberingAfterBreak="0">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D28F8"/>
    <w:multiLevelType w:val="hybridMultilevel"/>
    <w:tmpl w:val="F48E9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8"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0"/>
  </w:num>
  <w:num w:numId="3">
    <w:abstractNumId w:val="14"/>
  </w:num>
  <w:num w:numId="4">
    <w:abstractNumId w:val="13"/>
  </w:num>
  <w:num w:numId="5">
    <w:abstractNumId w:val="23"/>
  </w:num>
  <w:num w:numId="6">
    <w:abstractNumId w:val="15"/>
  </w:num>
  <w:num w:numId="7">
    <w:abstractNumId w:val="19"/>
  </w:num>
  <w:num w:numId="8">
    <w:abstractNumId w:val="9"/>
  </w:num>
  <w:num w:numId="9">
    <w:abstractNumId w:val="28"/>
  </w:num>
  <w:num w:numId="10">
    <w:abstractNumId w:val="22"/>
  </w:num>
  <w:num w:numId="11">
    <w:abstractNumId w:val="20"/>
  </w:num>
  <w:num w:numId="12">
    <w:abstractNumId w:val="18"/>
  </w:num>
  <w:num w:numId="13">
    <w:abstractNumId w:val="4"/>
  </w:num>
  <w:num w:numId="14">
    <w:abstractNumId w:val="21"/>
  </w:num>
  <w:num w:numId="15">
    <w:abstractNumId w:val="24"/>
  </w:num>
  <w:num w:numId="16">
    <w:abstractNumId w:val="7"/>
  </w:num>
  <w:num w:numId="17">
    <w:abstractNumId w:val="8"/>
  </w:num>
  <w:num w:numId="18">
    <w:abstractNumId w:val="25"/>
  </w:num>
  <w:num w:numId="19">
    <w:abstractNumId w:val="27"/>
  </w:num>
  <w:num w:numId="20">
    <w:abstractNumId w:val="12"/>
  </w:num>
  <w:num w:numId="21">
    <w:abstractNumId w:val="16"/>
  </w:num>
  <w:num w:numId="22">
    <w:abstractNumId w:val="3"/>
  </w:num>
  <w:num w:numId="23">
    <w:abstractNumId w:val="6"/>
  </w:num>
  <w:num w:numId="24">
    <w:abstractNumId w:val="2"/>
  </w:num>
  <w:num w:numId="25">
    <w:abstractNumId w:val="1"/>
  </w:num>
  <w:num w:numId="26">
    <w:abstractNumId w:val="0"/>
  </w:num>
  <w:num w:numId="27">
    <w:abstractNumId w:val="17"/>
  </w:num>
  <w:num w:numId="28">
    <w:abstractNumId w:val="11"/>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1148C"/>
    <w:rsid w:val="0002149C"/>
    <w:rsid w:val="00023DA7"/>
    <w:rsid w:val="00026FC0"/>
    <w:rsid w:val="00031A40"/>
    <w:rsid w:val="00036FC5"/>
    <w:rsid w:val="000446A9"/>
    <w:rsid w:val="00044961"/>
    <w:rsid w:val="0005314C"/>
    <w:rsid w:val="00055199"/>
    <w:rsid w:val="00056156"/>
    <w:rsid w:val="00061528"/>
    <w:rsid w:val="00064CFE"/>
    <w:rsid w:val="00070B46"/>
    <w:rsid w:val="00085DF3"/>
    <w:rsid w:val="000909AA"/>
    <w:rsid w:val="00093C26"/>
    <w:rsid w:val="000A4391"/>
    <w:rsid w:val="000B5D67"/>
    <w:rsid w:val="000B7863"/>
    <w:rsid w:val="000B7E9D"/>
    <w:rsid w:val="000C6F5D"/>
    <w:rsid w:val="000D44E8"/>
    <w:rsid w:val="000D5742"/>
    <w:rsid w:val="000E0857"/>
    <w:rsid w:val="000E270B"/>
    <w:rsid w:val="000E2C26"/>
    <w:rsid w:val="000E3878"/>
    <w:rsid w:val="00102EC5"/>
    <w:rsid w:val="001042A3"/>
    <w:rsid w:val="001111D1"/>
    <w:rsid w:val="0011700C"/>
    <w:rsid w:val="00146156"/>
    <w:rsid w:val="001520D8"/>
    <w:rsid w:val="00154CFC"/>
    <w:rsid w:val="00167904"/>
    <w:rsid w:val="001720CE"/>
    <w:rsid w:val="001733FC"/>
    <w:rsid w:val="00176FD8"/>
    <w:rsid w:val="001770AE"/>
    <w:rsid w:val="00177C40"/>
    <w:rsid w:val="00177F5E"/>
    <w:rsid w:val="001932C3"/>
    <w:rsid w:val="0019601D"/>
    <w:rsid w:val="001A559D"/>
    <w:rsid w:val="001B0AFE"/>
    <w:rsid w:val="001B6A33"/>
    <w:rsid w:val="001C4689"/>
    <w:rsid w:val="001C5268"/>
    <w:rsid w:val="001D2F63"/>
    <w:rsid w:val="001D5E87"/>
    <w:rsid w:val="001E325C"/>
    <w:rsid w:val="001F007B"/>
    <w:rsid w:val="001F04A6"/>
    <w:rsid w:val="001F6671"/>
    <w:rsid w:val="001F7006"/>
    <w:rsid w:val="002000D6"/>
    <w:rsid w:val="00204BF3"/>
    <w:rsid w:val="0021392B"/>
    <w:rsid w:val="00214949"/>
    <w:rsid w:val="00223926"/>
    <w:rsid w:val="00226965"/>
    <w:rsid w:val="00235C05"/>
    <w:rsid w:val="00237202"/>
    <w:rsid w:val="0024352A"/>
    <w:rsid w:val="00246E13"/>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C6C9F"/>
    <w:rsid w:val="002C7F10"/>
    <w:rsid w:val="002D6816"/>
    <w:rsid w:val="002F633D"/>
    <w:rsid w:val="002F72AC"/>
    <w:rsid w:val="0030363E"/>
    <w:rsid w:val="00305876"/>
    <w:rsid w:val="00317F00"/>
    <w:rsid w:val="00325E5A"/>
    <w:rsid w:val="003268EF"/>
    <w:rsid w:val="0032712D"/>
    <w:rsid w:val="003315FB"/>
    <w:rsid w:val="00344306"/>
    <w:rsid w:val="00345B2E"/>
    <w:rsid w:val="00351C11"/>
    <w:rsid w:val="00352D49"/>
    <w:rsid w:val="00354EEA"/>
    <w:rsid w:val="00355088"/>
    <w:rsid w:val="00356D09"/>
    <w:rsid w:val="0036273E"/>
    <w:rsid w:val="00367B75"/>
    <w:rsid w:val="00377489"/>
    <w:rsid w:val="00387390"/>
    <w:rsid w:val="0038774F"/>
    <w:rsid w:val="00395AFA"/>
    <w:rsid w:val="0039770E"/>
    <w:rsid w:val="003A21C9"/>
    <w:rsid w:val="003A4B2D"/>
    <w:rsid w:val="003B3F0B"/>
    <w:rsid w:val="003B4D0C"/>
    <w:rsid w:val="003C07E3"/>
    <w:rsid w:val="003C7253"/>
    <w:rsid w:val="003C79C0"/>
    <w:rsid w:val="003D0D16"/>
    <w:rsid w:val="003E4A2B"/>
    <w:rsid w:val="003F6A8D"/>
    <w:rsid w:val="003F7227"/>
    <w:rsid w:val="0040140B"/>
    <w:rsid w:val="004058B2"/>
    <w:rsid w:val="0040710D"/>
    <w:rsid w:val="0041122D"/>
    <w:rsid w:val="00413042"/>
    <w:rsid w:val="0041391A"/>
    <w:rsid w:val="00425D2E"/>
    <w:rsid w:val="004355AD"/>
    <w:rsid w:val="00435926"/>
    <w:rsid w:val="0043621C"/>
    <w:rsid w:val="00451174"/>
    <w:rsid w:val="00455F42"/>
    <w:rsid w:val="00490626"/>
    <w:rsid w:val="00494EE5"/>
    <w:rsid w:val="004A4C11"/>
    <w:rsid w:val="004A52B9"/>
    <w:rsid w:val="004B0712"/>
    <w:rsid w:val="004B0842"/>
    <w:rsid w:val="004B524E"/>
    <w:rsid w:val="004C0A4A"/>
    <w:rsid w:val="004C4029"/>
    <w:rsid w:val="004C55C3"/>
    <w:rsid w:val="004C60EE"/>
    <w:rsid w:val="004D1708"/>
    <w:rsid w:val="004D3BE5"/>
    <w:rsid w:val="004D5448"/>
    <w:rsid w:val="004D572C"/>
    <w:rsid w:val="004D7770"/>
    <w:rsid w:val="004E7913"/>
    <w:rsid w:val="004F3272"/>
    <w:rsid w:val="00501701"/>
    <w:rsid w:val="00511FEB"/>
    <w:rsid w:val="00512160"/>
    <w:rsid w:val="00514483"/>
    <w:rsid w:val="00522EDB"/>
    <w:rsid w:val="005238A1"/>
    <w:rsid w:val="0053214B"/>
    <w:rsid w:val="00536476"/>
    <w:rsid w:val="00542B31"/>
    <w:rsid w:val="00545DCF"/>
    <w:rsid w:val="005502AE"/>
    <w:rsid w:val="005557E2"/>
    <w:rsid w:val="00560777"/>
    <w:rsid w:val="0056087E"/>
    <w:rsid w:val="00565270"/>
    <w:rsid w:val="00565E68"/>
    <w:rsid w:val="00566907"/>
    <w:rsid w:val="00567CDE"/>
    <w:rsid w:val="005755FC"/>
    <w:rsid w:val="00576208"/>
    <w:rsid w:val="00585608"/>
    <w:rsid w:val="005914F2"/>
    <w:rsid w:val="005925EB"/>
    <w:rsid w:val="0059397E"/>
    <w:rsid w:val="005A0597"/>
    <w:rsid w:val="005A16A4"/>
    <w:rsid w:val="005A2471"/>
    <w:rsid w:val="005B44EE"/>
    <w:rsid w:val="005C1938"/>
    <w:rsid w:val="005C419D"/>
    <w:rsid w:val="005C4C1D"/>
    <w:rsid w:val="005D1D42"/>
    <w:rsid w:val="005D42F2"/>
    <w:rsid w:val="005E00A5"/>
    <w:rsid w:val="005F1F59"/>
    <w:rsid w:val="005F5DA8"/>
    <w:rsid w:val="00600DC9"/>
    <w:rsid w:val="00602597"/>
    <w:rsid w:val="00603174"/>
    <w:rsid w:val="00613895"/>
    <w:rsid w:val="006152D9"/>
    <w:rsid w:val="006157D3"/>
    <w:rsid w:val="0061643E"/>
    <w:rsid w:val="00616FA7"/>
    <w:rsid w:val="006229A6"/>
    <w:rsid w:val="00624CCF"/>
    <w:rsid w:val="0064288D"/>
    <w:rsid w:val="006514EB"/>
    <w:rsid w:val="00661DDD"/>
    <w:rsid w:val="00663CD7"/>
    <w:rsid w:val="00673DC4"/>
    <w:rsid w:val="0068196E"/>
    <w:rsid w:val="00684606"/>
    <w:rsid w:val="00692823"/>
    <w:rsid w:val="006A5C20"/>
    <w:rsid w:val="006C2AA1"/>
    <w:rsid w:val="006D78F8"/>
    <w:rsid w:val="006E1419"/>
    <w:rsid w:val="006E294E"/>
    <w:rsid w:val="006E3693"/>
    <w:rsid w:val="006E4517"/>
    <w:rsid w:val="006E7423"/>
    <w:rsid w:val="0070568F"/>
    <w:rsid w:val="00706232"/>
    <w:rsid w:val="00706B71"/>
    <w:rsid w:val="00716100"/>
    <w:rsid w:val="00717C7E"/>
    <w:rsid w:val="00717DFA"/>
    <w:rsid w:val="007237B6"/>
    <w:rsid w:val="0073473E"/>
    <w:rsid w:val="0073634D"/>
    <w:rsid w:val="00742E6F"/>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D7961"/>
    <w:rsid w:val="007E25DD"/>
    <w:rsid w:val="007E5820"/>
    <w:rsid w:val="007E698F"/>
    <w:rsid w:val="007F38F2"/>
    <w:rsid w:val="008041A5"/>
    <w:rsid w:val="008044BF"/>
    <w:rsid w:val="0081231C"/>
    <w:rsid w:val="008151C8"/>
    <w:rsid w:val="008165A8"/>
    <w:rsid w:val="008178A7"/>
    <w:rsid w:val="0082358C"/>
    <w:rsid w:val="00824B1A"/>
    <w:rsid w:val="00830DCD"/>
    <w:rsid w:val="00847B4C"/>
    <w:rsid w:val="008523FF"/>
    <w:rsid w:val="0085515C"/>
    <w:rsid w:val="008617E8"/>
    <w:rsid w:val="0086375A"/>
    <w:rsid w:val="008A1B2D"/>
    <w:rsid w:val="008B10FA"/>
    <w:rsid w:val="008B34F0"/>
    <w:rsid w:val="008C02DC"/>
    <w:rsid w:val="008C727D"/>
    <w:rsid w:val="008D0717"/>
    <w:rsid w:val="008E51E7"/>
    <w:rsid w:val="008F301F"/>
    <w:rsid w:val="00905384"/>
    <w:rsid w:val="00907B09"/>
    <w:rsid w:val="00910BFF"/>
    <w:rsid w:val="00920F4F"/>
    <w:rsid w:val="00924DF5"/>
    <w:rsid w:val="00925F71"/>
    <w:rsid w:val="009273D2"/>
    <w:rsid w:val="00935B42"/>
    <w:rsid w:val="00941872"/>
    <w:rsid w:val="00941A31"/>
    <w:rsid w:val="00942682"/>
    <w:rsid w:val="00942FFC"/>
    <w:rsid w:val="00952B23"/>
    <w:rsid w:val="00953A88"/>
    <w:rsid w:val="00954598"/>
    <w:rsid w:val="00957B03"/>
    <w:rsid w:val="00965496"/>
    <w:rsid w:val="00974E8F"/>
    <w:rsid w:val="009753B1"/>
    <w:rsid w:val="009836D5"/>
    <w:rsid w:val="009857D8"/>
    <w:rsid w:val="00987B5F"/>
    <w:rsid w:val="00990C26"/>
    <w:rsid w:val="00991648"/>
    <w:rsid w:val="00994C5C"/>
    <w:rsid w:val="009A1B12"/>
    <w:rsid w:val="009B0611"/>
    <w:rsid w:val="009B1535"/>
    <w:rsid w:val="009C58F5"/>
    <w:rsid w:val="009C63C1"/>
    <w:rsid w:val="009D107F"/>
    <w:rsid w:val="009E1045"/>
    <w:rsid w:val="009E7251"/>
    <w:rsid w:val="009F2988"/>
    <w:rsid w:val="009F42E5"/>
    <w:rsid w:val="00A0227A"/>
    <w:rsid w:val="00A0346A"/>
    <w:rsid w:val="00A071E2"/>
    <w:rsid w:val="00A07851"/>
    <w:rsid w:val="00A1118F"/>
    <w:rsid w:val="00A123F8"/>
    <w:rsid w:val="00A12D89"/>
    <w:rsid w:val="00A27C05"/>
    <w:rsid w:val="00A33DC7"/>
    <w:rsid w:val="00A4210D"/>
    <w:rsid w:val="00A500AA"/>
    <w:rsid w:val="00A562B7"/>
    <w:rsid w:val="00A60046"/>
    <w:rsid w:val="00A63715"/>
    <w:rsid w:val="00A677EF"/>
    <w:rsid w:val="00A71697"/>
    <w:rsid w:val="00A71D05"/>
    <w:rsid w:val="00A740C4"/>
    <w:rsid w:val="00A83B75"/>
    <w:rsid w:val="00A905C8"/>
    <w:rsid w:val="00A94443"/>
    <w:rsid w:val="00A94E17"/>
    <w:rsid w:val="00A96EA6"/>
    <w:rsid w:val="00AA37FB"/>
    <w:rsid w:val="00AA4C50"/>
    <w:rsid w:val="00AA51DE"/>
    <w:rsid w:val="00AB02C7"/>
    <w:rsid w:val="00AB055E"/>
    <w:rsid w:val="00AB1EC3"/>
    <w:rsid w:val="00AC215B"/>
    <w:rsid w:val="00AD1893"/>
    <w:rsid w:val="00AD1D40"/>
    <w:rsid w:val="00AD474A"/>
    <w:rsid w:val="00AD6DBD"/>
    <w:rsid w:val="00AE608E"/>
    <w:rsid w:val="00AE7C49"/>
    <w:rsid w:val="00AF0A8F"/>
    <w:rsid w:val="00AF3DCF"/>
    <w:rsid w:val="00B04E45"/>
    <w:rsid w:val="00B068D4"/>
    <w:rsid w:val="00B078F9"/>
    <w:rsid w:val="00B117E8"/>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76603"/>
    <w:rsid w:val="00B83AEB"/>
    <w:rsid w:val="00B84E28"/>
    <w:rsid w:val="00B95146"/>
    <w:rsid w:val="00BA1604"/>
    <w:rsid w:val="00BA5FC0"/>
    <w:rsid w:val="00BA682B"/>
    <w:rsid w:val="00BB0466"/>
    <w:rsid w:val="00BB0D4E"/>
    <w:rsid w:val="00BB7989"/>
    <w:rsid w:val="00BC022A"/>
    <w:rsid w:val="00BC2206"/>
    <w:rsid w:val="00BD2D08"/>
    <w:rsid w:val="00BE1A41"/>
    <w:rsid w:val="00BE24DF"/>
    <w:rsid w:val="00BF0B8D"/>
    <w:rsid w:val="00BF12E5"/>
    <w:rsid w:val="00BF3B8E"/>
    <w:rsid w:val="00BF54E1"/>
    <w:rsid w:val="00BF7880"/>
    <w:rsid w:val="00C0122A"/>
    <w:rsid w:val="00C036CE"/>
    <w:rsid w:val="00C04288"/>
    <w:rsid w:val="00C130E4"/>
    <w:rsid w:val="00C16F4A"/>
    <w:rsid w:val="00C27094"/>
    <w:rsid w:val="00C318E5"/>
    <w:rsid w:val="00C52F42"/>
    <w:rsid w:val="00C56477"/>
    <w:rsid w:val="00C56705"/>
    <w:rsid w:val="00C61255"/>
    <w:rsid w:val="00C61CA3"/>
    <w:rsid w:val="00C62D32"/>
    <w:rsid w:val="00C63821"/>
    <w:rsid w:val="00C65F03"/>
    <w:rsid w:val="00C717F7"/>
    <w:rsid w:val="00C77D1A"/>
    <w:rsid w:val="00C809D0"/>
    <w:rsid w:val="00C827A7"/>
    <w:rsid w:val="00C82E3A"/>
    <w:rsid w:val="00C83BF7"/>
    <w:rsid w:val="00C91E2E"/>
    <w:rsid w:val="00C92217"/>
    <w:rsid w:val="00C95D11"/>
    <w:rsid w:val="00CA1B05"/>
    <w:rsid w:val="00CA6453"/>
    <w:rsid w:val="00CA6DEA"/>
    <w:rsid w:val="00CB0A24"/>
    <w:rsid w:val="00CB2BA6"/>
    <w:rsid w:val="00CB7BCA"/>
    <w:rsid w:val="00CC122D"/>
    <w:rsid w:val="00CD6BDE"/>
    <w:rsid w:val="00CE20FD"/>
    <w:rsid w:val="00CE22B5"/>
    <w:rsid w:val="00CE5178"/>
    <w:rsid w:val="00CF09EF"/>
    <w:rsid w:val="00CF121F"/>
    <w:rsid w:val="00CF181D"/>
    <w:rsid w:val="00CF68B1"/>
    <w:rsid w:val="00D0216B"/>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60634"/>
    <w:rsid w:val="00D62BE4"/>
    <w:rsid w:val="00D718ED"/>
    <w:rsid w:val="00D769EC"/>
    <w:rsid w:val="00D778F2"/>
    <w:rsid w:val="00D81C28"/>
    <w:rsid w:val="00D91CD9"/>
    <w:rsid w:val="00D91D63"/>
    <w:rsid w:val="00D9517C"/>
    <w:rsid w:val="00D97030"/>
    <w:rsid w:val="00DA2F90"/>
    <w:rsid w:val="00DD0A13"/>
    <w:rsid w:val="00DD356E"/>
    <w:rsid w:val="00DD6341"/>
    <w:rsid w:val="00DE170A"/>
    <w:rsid w:val="00DE2CCD"/>
    <w:rsid w:val="00DE56AA"/>
    <w:rsid w:val="00DF5E44"/>
    <w:rsid w:val="00E14AB9"/>
    <w:rsid w:val="00E25B7C"/>
    <w:rsid w:val="00E34DA4"/>
    <w:rsid w:val="00E37CE0"/>
    <w:rsid w:val="00E41117"/>
    <w:rsid w:val="00E44494"/>
    <w:rsid w:val="00E565D9"/>
    <w:rsid w:val="00E571A4"/>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5C63"/>
    <w:rsid w:val="00EE6308"/>
    <w:rsid w:val="00EE6F01"/>
    <w:rsid w:val="00EF00DF"/>
    <w:rsid w:val="00EF5013"/>
    <w:rsid w:val="00EF7644"/>
    <w:rsid w:val="00F00C2F"/>
    <w:rsid w:val="00F00E8B"/>
    <w:rsid w:val="00F05D5D"/>
    <w:rsid w:val="00F17495"/>
    <w:rsid w:val="00F179C5"/>
    <w:rsid w:val="00F17BAC"/>
    <w:rsid w:val="00F22307"/>
    <w:rsid w:val="00F22BAA"/>
    <w:rsid w:val="00F2458A"/>
    <w:rsid w:val="00F24720"/>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9F5D4AC"/>
  <w15:docId w15:val="{78EADF01-2A76-474A-8600-212674D3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C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7C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Placeb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93A4-C01B-4A29-813A-0FBFF5FE47D5}">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0CE5E0C-5483-496E-8360-32C1A0168E65}">
  <ds:schemaRefs>
    <ds:schemaRef ds:uri="http://schemas.microsoft.com/sharepoint/v3/contenttype/forms"/>
  </ds:schemaRefs>
</ds:datastoreItem>
</file>

<file path=customXml/itemProps3.xml><?xml version="1.0" encoding="utf-8"?>
<ds:datastoreItem xmlns:ds="http://schemas.openxmlformats.org/officeDocument/2006/customXml" ds:itemID="{0A6BF486-3854-4CD6-B7F5-6F99FC1E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50C6FE-7BC3-4BA1-8234-EC44FFF7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5</cp:revision>
  <cp:lastPrinted>2011-08-12T01:29:00Z</cp:lastPrinted>
  <dcterms:created xsi:type="dcterms:W3CDTF">2017-08-28T21:57:00Z</dcterms:created>
  <dcterms:modified xsi:type="dcterms:W3CDTF">2018-02-20T21:02:00Z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