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670"/>
        <w:gridCol w:w="3420"/>
      </w:tblGrid>
      <w:tr w:rsidR="008B4418" w14:paraId="02EC451F" w14:textId="77777777" w:rsidTr="5E1FC3AA">
        <w:tc>
          <w:tcPr>
            <w:tcW w:w="14400" w:type="dxa"/>
            <w:gridSpan w:val="3"/>
            <w:shd w:val="clear" w:color="auto" w:fill="auto"/>
          </w:tcPr>
          <w:p w14:paraId="6B3043FF" w14:textId="77777777" w:rsidR="008F1C61" w:rsidRPr="009C4946" w:rsidRDefault="008F1C61" w:rsidP="008B4418">
            <w:pPr>
              <w:jc w:val="center"/>
              <w:rPr>
                <w:b/>
                <w:bCs/>
                <w:u w:val="single"/>
              </w:rPr>
            </w:pPr>
            <w:r w:rsidRPr="009C4946">
              <w:rPr>
                <w:b/>
                <w:bCs/>
                <w:u w:val="single"/>
              </w:rPr>
              <w:t>Guidance on Level of IRB Review</w:t>
            </w:r>
          </w:p>
          <w:p w14:paraId="35AD7DF5" w14:textId="77777777" w:rsidR="008F1C61" w:rsidRDefault="008F1C61" w:rsidP="008B4418">
            <w:pPr>
              <w:jc w:val="center"/>
            </w:pPr>
          </w:p>
          <w:p w14:paraId="5BC5DE45" w14:textId="6E6D9006" w:rsidR="008F1C61" w:rsidRDefault="008F1C61" w:rsidP="008B4418">
            <w:r>
              <w:t>This document addresses commonly asked questions about level o</w:t>
            </w:r>
            <w:r w:rsidR="00082AD5">
              <w:t>f</w:t>
            </w:r>
            <w:r>
              <w:t xml:space="preserve"> review/what application process may be required</w:t>
            </w:r>
            <w:r w:rsidR="00816DCF">
              <w:t xml:space="preserve"> and is divided into 4 sections</w:t>
            </w:r>
            <w:r w:rsidR="00FB3D6C">
              <w:t>:</w:t>
            </w:r>
          </w:p>
          <w:p w14:paraId="50ECD4BB" w14:textId="46CFEDD9" w:rsidR="00816DCF" w:rsidRDefault="00816DCF" w:rsidP="008B4418">
            <w:pPr>
              <w:numPr>
                <w:ilvl w:val="0"/>
                <w:numId w:val="42"/>
              </w:numPr>
            </w:pPr>
            <w:r>
              <w:t>KSU and Regulatory positions</w:t>
            </w:r>
          </w:p>
          <w:p w14:paraId="28A9F7B5" w14:textId="3B8BE0E0" w:rsidR="00816DCF" w:rsidRDefault="00816DCF" w:rsidP="008B4418">
            <w:pPr>
              <w:numPr>
                <w:ilvl w:val="0"/>
                <w:numId w:val="42"/>
              </w:numPr>
            </w:pPr>
            <w:r>
              <w:t>Level I/Exempt Research</w:t>
            </w:r>
          </w:p>
          <w:p w14:paraId="1B909234" w14:textId="170AFF8C" w:rsidR="00816DCF" w:rsidRDefault="00816DCF" w:rsidP="008B4418">
            <w:pPr>
              <w:numPr>
                <w:ilvl w:val="0"/>
                <w:numId w:val="42"/>
              </w:numPr>
            </w:pPr>
            <w:r>
              <w:t xml:space="preserve">Level II/Expedited Research </w:t>
            </w:r>
          </w:p>
          <w:p w14:paraId="14459841" w14:textId="77777777" w:rsidR="00E61E13" w:rsidRDefault="00E61E13" w:rsidP="008B4418">
            <w:pPr>
              <w:numPr>
                <w:ilvl w:val="1"/>
                <w:numId w:val="42"/>
              </w:numPr>
            </w:pPr>
            <w:r>
              <w:t xml:space="preserve">Categories of expedited research can also be found at: </w:t>
            </w:r>
            <w:hyperlink r:id="rId7" w:history="1">
              <w:r w:rsidRPr="00E9247F">
                <w:rPr>
                  <w:rStyle w:val="Hyperlink"/>
                </w:rPr>
                <w:t>https://www.hhs.gov/ohrp/regulations-and-policy/guidance/categories-of-research-expedited-review-procedure-1998/index.html</w:t>
              </w:r>
            </w:hyperlink>
            <w:r>
              <w:t xml:space="preserve"> </w:t>
            </w:r>
          </w:p>
          <w:p w14:paraId="4CEEB467" w14:textId="77777777" w:rsidR="00816DCF" w:rsidRDefault="00816DCF" w:rsidP="008B4418">
            <w:pPr>
              <w:numPr>
                <w:ilvl w:val="0"/>
                <w:numId w:val="42"/>
              </w:numPr>
            </w:pPr>
            <w:r>
              <w:t>FAQs</w:t>
            </w:r>
          </w:p>
          <w:p w14:paraId="7C8BB57F" w14:textId="77777777" w:rsidR="008F1C61" w:rsidRDefault="008F1C61" w:rsidP="008B4418"/>
          <w:p w14:paraId="16BEC06D" w14:textId="0B8C7EB9" w:rsidR="008F1C61" w:rsidRDefault="008F1C61" w:rsidP="008B4418">
            <w:r>
              <w:t>When determining level of review</w:t>
            </w:r>
            <w:r w:rsidR="006F4A53">
              <w:t>,</w:t>
            </w:r>
            <w:r>
              <w:t xml:space="preserve"> start with the </w:t>
            </w:r>
            <w:r w:rsidR="00816DCF">
              <w:t>level I</w:t>
            </w:r>
            <w:r>
              <w:t xml:space="preserve"> application. If any element of your research does not meet a category of exemption or presents greater than minimal risk, complete the level II/III form.</w:t>
            </w:r>
          </w:p>
          <w:p w14:paraId="2EE8CFAB" w14:textId="77777777" w:rsidR="008F1C61" w:rsidRDefault="008F1C61" w:rsidP="008B4418"/>
          <w:p w14:paraId="3473A432" w14:textId="6498D31A" w:rsidR="008F1C61" w:rsidRDefault="008F1C61" w:rsidP="008B4418">
            <w:r>
              <w:t>Level III review is conducted for any project that presents greater than minimal risk or does not meet the regulatory categories for level I or level II review. Additionally, any Institutional Review Board</w:t>
            </w:r>
            <w:r w:rsidR="00537903">
              <w:t xml:space="preserve"> (</w:t>
            </w:r>
            <w:r>
              <w:t>IRB) member has the authority to request level III review of a protocol regardless of the procedures.</w:t>
            </w:r>
          </w:p>
          <w:p w14:paraId="536EDA2B" w14:textId="77777777" w:rsidR="008F1C61" w:rsidRDefault="008F1C61" w:rsidP="008B4418"/>
          <w:p w14:paraId="5EB492D0" w14:textId="5F9AC266" w:rsidR="008F1C61" w:rsidRDefault="008F1C61" w:rsidP="008B4418">
            <w:r>
              <w:t xml:space="preserve">Obtaining compliance approval with processes that are outside of the purview of the IRB </w:t>
            </w:r>
            <w:r w:rsidR="001367BB">
              <w:t xml:space="preserve">is </w:t>
            </w:r>
            <w:r>
              <w:t>the responsibility of the Principal Investigator. These processes include, but are not limited to:</w:t>
            </w:r>
          </w:p>
          <w:p w14:paraId="507124AE" w14:textId="604DBF17" w:rsidR="008F1C61" w:rsidRDefault="008F1C61" w:rsidP="008B4418">
            <w:pPr>
              <w:pStyle w:val="ListParagraph"/>
              <w:numPr>
                <w:ilvl w:val="0"/>
                <w:numId w:val="33"/>
              </w:numPr>
              <w:contextualSpacing/>
            </w:pPr>
            <w:r>
              <w:t>HIPAA compliance: Privacy Officer reviews any access to PHI</w:t>
            </w:r>
            <w:r w:rsidR="007013C4">
              <w:t>.</w:t>
            </w:r>
            <w:r>
              <w:t xml:space="preserve"> </w:t>
            </w:r>
            <w:hyperlink r:id="rId8">
              <w:r w:rsidRPr="5E1FC3AA">
                <w:rPr>
                  <w:rStyle w:val="Hyperlink"/>
                </w:rPr>
                <w:t>https://www.kent.edu/compliance/hipaa</w:t>
              </w:r>
            </w:hyperlink>
            <w:r>
              <w:t xml:space="preserve"> </w:t>
            </w:r>
          </w:p>
          <w:p w14:paraId="1F990F5D" w14:textId="472EB42E" w:rsidR="008F1C61" w:rsidRDefault="008F1C61" w:rsidP="008B4418">
            <w:pPr>
              <w:pStyle w:val="ListParagraph"/>
              <w:numPr>
                <w:ilvl w:val="0"/>
                <w:numId w:val="33"/>
              </w:numPr>
              <w:contextualSpacing/>
            </w:pPr>
            <w:r>
              <w:t xml:space="preserve">HIPAA compliance: IS Security reviews storage of PHI </w:t>
            </w:r>
            <w:hyperlink r:id="rId9">
              <w:r w:rsidRPr="5E1FC3AA">
                <w:rPr>
                  <w:rStyle w:val="Hyperlink"/>
                </w:rPr>
                <w:t>https://www.kent.edu/compliance/hipaa</w:t>
              </w:r>
            </w:hyperlink>
            <w:r>
              <w:t xml:space="preserve"> </w:t>
            </w:r>
          </w:p>
          <w:p w14:paraId="4DEF28B1" w14:textId="7499BA20" w:rsidR="008F1C61" w:rsidRDefault="008F1C61" w:rsidP="008B4418">
            <w:pPr>
              <w:pStyle w:val="ListParagraph"/>
              <w:numPr>
                <w:ilvl w:val="0"/>
                <w:numId w:val="33"/>
              </w:numPr>
              <w:contextualSpacing/>
            </w:pPr>
            <w:r>
              <w:t xml:space="preserve">Institutional Biosafety Committee: reviews the use of synthetic or recombinant DNA and other biohazardous materials (for example, human blood or tissue) </w:t>
            </w:r>
            <w:hyperlink r:id="rId10">
              <w:r w:rsidRPr="5E1FC3AA">
                <w:rPr>
                  <w:rStyle w:val="Hyperlink"/>
                </w:rPr>
                <w:t>https://www.kent.edu/compliance/biological-safety</w:t>
              </w:r>
            </w:hyperlink>
            <w:r>
              <w:t xml:space="preserve">  </w:t>
            </w:r>
          </w:p>
          <w:p w14:paraId="6AF8FA32" w14:textId="5EF9FE08" w:rsidR="008F1C61" w:rsidRDefault="008F1C61" w:rsidP="008B4418">
            <w:pPr>
              <w:pStyle w:val="ListParagraph"/>
              <w:numPr>
                <w:ilvl w:val="0"/>
                <w:numId w:val="33"/>
              </w:numPr>
              <w:contextualSpacing/>
            </w:pPr>
            <w:r>
              <w:t xml:space="preserve">FERPA compliance review is conducted by the Registrar’s Office </w:t>
            </w:r>
            <w:hyperlink r:id="rId11">
              <w:r w:rsidRPr="5E1FC3AA">
                <w:rPr>
                  <w:rStyle w:val="Hyperlink"/>
                </w:rPr>
                <w:t>https://www.kent.edu/registrar/ferpa</w:t>
              </w:r>
            </w:hyperlink>
            <w:r>
              <w:t xml:space="preserve"> </w:t>
            </w:r>
          </w:p>
          <w:p w14:paraId="6CA33F94" w14:textId="6F0DC5D8" w:rsidR="008F1C61" w:rsidRDefault="008F1C61" w:rsidP="008B4418">
            <w:pPr>
              <w:pStyle w:val="ListParagraph"/>
              <w:numPr>
                <w:ilvl w:val="0"/>
                <w:numId w:val="33"/>
              </w:numPr>
              <w:contextualSpacing/>
            </w:pPr>
            <w:r>
              <w:t xml:space="preserve">University Minors Policy applies to activities involving minors </w:t>
            </w:r>
            <w:hyperlink r:id="rId12">
              <w:r w:rsidRPr="5E1FC3AA">
                <w:rPr>
                  <w:rStyle w:val="Hyperlink"/>
                </w:rPr>
                <w:t>https://www.kent.edu/compliance/campus-activities-involving-minors</w:t>
              </w:r>
            </w:hyperlink>
            <w:r>
              <w:t xml:space="preserve"> </w:t>
            </w:r>
          </w:p>
          <w:p w14:paraId="4DCB14DD" w14:textId="77777777" w:rsidR="008F1C61" w:rsidRDefault="008F1C61" w:rsidP="008B4418">
            <w:pPr>
              <w:jc w:val="center"/>
            </w:pPr>
          </w:p>
        </w:tc>
      </w:tr>
      <w:tr w:rsidR="008B4418" w14:paraId="369504E2" w14:textId="77777777">
        <w:tc>
          <w:tcPr>
            <w:tcW w:w="14400" w:type="dxa"/>
            <w:gridSpan w:val="3"/>
            <w:shd w:val="clear" w:color="auto" w:fill="1F3864"/>
            <w:vAlign w:val="center"/>
          </w:tcPr>
          <w:p w14:paraId="3D2459C7" w14:textId="77777777" w:rsidR="008F1C61" w:rsidRPr="008B4418" w:rsidRDefault="008F1C61" w:rsidP="008B4418">
            <w:pPr>
              <w:jc w:val="center"/>
              <w:rPr>
                <w:b/>
                <w:color w:val="FFFFFF"/>
              </w:rPr>
            </w:pPr>
            <w:r w:rsidRPr="008B4418">
              <w:rPr>
                <w:b/>
                <w:color w:val="FFFFFF"/>
              </w:rPr>
              <w:t>KSU and Regulatory Positions</w:t>
            </w:r>
          </w:p>
        </w:tc>
      </w:tr>
      <w:tr w:rsidR="008B4418" w14:paraId="489D2828" w14:textId="77777777">
        <w:tc>
          <w:tcPr>
            <w:tcW w:w="5310" w:type="dxa"/>
            <w:shd w:val="clear" w:color="auto" w:fill="auto"/>
            <w:vAlign w:val="center"/>
          </w:tcPr>
          <w:p w14:paraId="0DE91790" w14:textId="1F4F5A90" w:rsidR="008F1C61" w:rsidRPr="009C4946" w:rsidRDefault="008F1C61" w:rsidP="008B4418">
            <w:pPr>
              <w:jc w:val="center"/>
              <w:rPr>
                <w:sz w:val="24"/>
                <w:szCs w:val="24"/>
              </w:rPr>
            </w:pPr>
            <w:r>
              <w:rPr>
                <w:b/>
                <w:bCs/>
                <w:color w:val="000000"/>
                <w:sz w:val="24"/>
                <w:szCs w:val="24"/>
              </w:rPr>
              <w:t>Level I/Exempt – IRB Permissible Research</w:t>
            </w:r>
          </w:p>
        </w:tc>
        <w:tc>
          <w:tcPr>
            <w:tcW w:w="5670" w:type="dxa"/>
            <w:shd w:val="clear" w:color="auto" w:fill="E7E6E6"/>
            <w:vAlign w:val="center"/>
          </w:tcPr>
          <w:p w14:paraId="4239B166" w14:textId="00142C81" w:rsidR="008F1C61" w:rsidRPr="009C4946" w:rsidRDefault="008F1C61" w:rsidP="008B4418">
            <w:pPr>
              <w:jc w:val="center"/>
              <w:rPr>
                <w:sz w:val="24"/>
                <w:szCs w:val="24"/>
              </w:rPr>
            </w:pPr>
            <w:r>
              <w:rPr>
                <w:b/>
                <w:bCs/>
                <w:color w:val="000000"/>
                <w:sz w:val="24"/>
                <w:szCs w:val="24"/>
              </w:rPr>
              <w:t>Level II/Expedited – IRB Permissible Research</w:t>
            </w:r>
          </w:p>
        </w:tc>
        <w:tc>
          <w:tcPr>
            <w:tcW w:w="3420" w:type="dxa"/>
            <w:shd w:val="clear" w:color="auto" w:fill="B4C6E7"/>
            <w:vAlign w:val="center"/>
          </w:tcPr>
          <w:p w14:paraId="3A5777D6" w14:textId="77777777" w:rsidR="008F1C61" w:rsidRPr="009C4946" w:rsidRDefault="008F1C61" w:rsidP="008B4418">
            <w:pPr>
              <w:jc w:val="center"/>
              <w:rPr>
                <w:sz w:val="24"/>
                <w:szCs w:val="24"/>
              </w:rPr>
            </w:pPr>
            <w:r w:rsidRPr="009C4946">
              <w:rPr>
                <w:b/>
                <w:color w:val="000000"/>
                <w:sz w:val="24"/>
                <w:szCs w:val="24"/>
              </w:rPr>
              <w:t>Notes</w:t>
            </w:r>
          </w:p>
        </w:tc>
      </w:tr>
      <w:tr w:rsidR="008B4418" w14:paraId="43786C17" w14:textId="77777777">
        <w:tc>
          <w:tcPr>
            <w:tcW w:w="5310" w:type="dxa"/>
            <w:shd w:val="clear" w:color="auto" w:fill="auto"/>
            <w:vAlign w:val="center"/>
          </w:tcPr>
          <w:p w14:paraId="501A5116" w14:textId="2828C6FB" w:rsidR="008F1C61" w:rsidRDefault="008F1C61" w:rsidP="008B4418">
            <w:r>
              <w:t>Research must only present minimal risk and is limited to one or more exempt categories–</w:t>
            </w:r>
            <w:r w:rsidRPr="5E1FC3AA">
              <w:rPr>
                <w:u w:val="single"/>
              </w:rPr>
              <w:t>minimal risk means</w:t>
            </w:r>
            <w:r>
              <w:t xml:space="preserve"> the probability and magnitude of harm or discomfort anticipated in the research are not greater</w:t>
            </w:r>
            <w:r w:rsidR="00647259">
              <w:t>,</w:t>
            </w:r>
            <w:r>
              <w:t xml:space="preserve"> in and of themselves</w:t>
            </w:r>
            <w:r w:rsidR="00C10F93">
              <w:t>,</w:t>
            </w:r>
            <w:r>
              <w:t xml:space="preserve"> </w:t>
            </w:r>
            <w:r w:rsidR="0035014C">
              <w:t>than</w:t>
            </w:r>
            <w:r>
              <w:t xml:space="preserve"> those ordinarily encountered in daily life or during the performance of routine physical or </w:t>
            </w:r>
            <w:r>
              <w:lastRenderedPageBreak/>
              <w:t>psychological examinations or tests.</w:t>
            </w:r>
          </w:p>
        </w:tc>
        <w:tc>
          <w:tcPr>
            <w:tcW w:w="5670" w:type="dxa"/>
            <w:shd w:val="clear" w:color="auto" w:fill="E7E6E6"/>
            <w:vAlign w:val="center"/>
          </w:tcPr>
          <w:p w14:paraId="1CA58892" w14:textId="7A110000" w:rsidR="008F1C61" w:rsidRDefault="008F1C61" w:rsidP="008B4418">
            <w:r>
              <w:lastRenderedPageBreak/>
              <w:t>Research must present no more than minimal risk and is limited to one or more categories of expedited research and may involve procedures that are otherwise approvable as exempt.</w:t>
            </w:r>
          </w:p>
        </w:tc>
        <w:tc>
          <w:tcPr>
            <w:tcW w:w="3420" w:type="dxa"/>
            <w:shd w:val="clear" w:color="auto" w:fill="B4C6E7"/>
            <w:vAlign w:val="center"/>
          </w:tcPr>
          <w:p w14:paraId="1574F8C5" w14:textId="77777777" w:rsidR="008F1C61" w:rsidRDefault="008F1C61" w:rsidP="008B4418">
            <w:r>
              <w:t xml:space="preserve">Level III review is conducted for any project that presents greater than minimal risk or does not meet the regulatory categories for level I or level II review. Additionally, any IRB member has the authority to </w:t>
            </w:r>
            <w:r>
              <w:lastRenderedPageBreak/>
              <w:t>request level III review of a protocol regardless of the procedures.</w:t>
            </w:r>
          </w:p>
        </w:tc>
      </w:tr>
      <w:tr w:rsidR="008B4418" w14:paraId="25DF59A1" w14:textId="77777777">
        <w:tc>
          <w:tcPr>
            <w:tcW w:w="5310" w:type="dxa"/>
            <w:shd w:val="clear" w:color="auto" w:fill="auto"/>
            <w:vAlign w:val="center"/>
          </w:tcPr>
          <w:p w14:paraId="7DD795FA" w14:textId="4ADC1DEB" w:rsidR="008F1C61" w:rsidRDefault="008F1C61" w:rsidP="008B4418">
            <w:r>
              <w:lastRenderedPageBreak/>
              <w:t xml:space="preserve">Sensitive information may be collected only if the participant and associated data is </w:t>
            </w:r>
            <w:proofErr w:type="gramStart"/>
            <w:r>
              <w:t>anonymous</w:t>
            </w:r>
            <w:proofErr w:type="gramEnd"/>
            <w:r>
              <w:t xml:space="preserve"> and the research presents</w:t>
            </w:r>
            <w:r w:rsidR="001D57FA">
              <w:t xml:space="preserve"> only</w:t>
            </w:r>
            <w:r>
              <w:t xml:space="preserve"> minimal risk.</w:t>
            </w:r>
          </w:p>
        </w:tc>
        <w:tc>
          <w:tcPr>
            <w:tcW w:w="5670" w:type="dxa"/>
            <w:shd w:val="clear" w:color="auto" w:fill="E7E6E6"/>
            <w:vAlign w:val="center"/>
          </w:tcPr>
          <w:p w14:paraId="52A1A00A" w14:textId="77777777" w:rsidR="008F1C61" w:rsidRDefault="008F1C61" w:rsidP="008B4418">
            <w:r>
              <w:t>Sensitive information may be collected so long as it does not present more than minimal risk.</w:t>
            </w:r>
          </w:p>
        </w:tc>
        <w:tc>
          <w:tcPr>
            <w:tcW w:w="3420" w:type="dxa"/>
            <w:shd w:val="clear" w:color="auto" w:fill="B4C6E7"/>
            <w:vAlign w:val="center"/>
          </w:tcPr>
          <w:p w14:paraId="1D85822A" w14:textId="58E37147" w:rsidR="008F1C61" w:rsidRPr="008B4418" w:rsidRDefault="008F1C61" w:rsidP="008B4418">
            <w:pPr>
              <w:rPr>
                <w:rFonts w:cs="Calibri"/>
              </w:rPr>
            </w:pPr>
            <w:r>
              <w:rPr>
                <w:rFonts w:cs="Calibri"/>
                <w:color w:val="000000"/>
                <w:u w:val="single"/>
              </w:rPr>
              <w:t>Sensitive</w:t>
            </w:r>
            <w:r>
              <w:rPr>
                <w:rFonts w:cs="Calibri"/>
                <w:color w:val="000000"/>
              </w:rPr>
              <w:t xml:space="preserve"> data is any data for which any disclosure of the responses outside of the research could reasonably place the subjects at risk of criminal or civil liability</w:t>
            </w:r>
            <w:r w:rsidR="00AB6EA4">
              <w:rPr>
                <w:rFonts w:cs="Calibri"/>
                <w:color w:val="000000"/>
              </w:rPr>
              <w:t>,</w:t>
            </w:r>
            <w:r>
              <w:rPr>
                <w:rFonts w:cs="Calibri"/>
                <w:color w:val="000000"/>
              </w:rPr>
              <w:t xml:space="preserve"> or be damaging to the subjects’ financial standings, employability, insurability, or reputations.</w:t>
            </w:r>
          </w:p>
        </w:tc>
      </w:tr>
      <w:tr w:rsidR="008B4418" w14:paraId="4EB6973F" w14:textId="77777777">
        <w:tc>
          <w:tcPr>
            <w:tcW w:w="5310" w:type="dxa"/>
            <w:shd w:val="clear" w:color="auto" w:fill="auto"/>
            <w:vAlign w:val="center"/>
          </w:tcPr>
          <w:p w14:paraId="047E3D33" w14:textId="79748C6C" w:rsidR="008F1C61" w:rsidRDefault="008F1C61" w:rsidP="008B4418">
            <w:r>
              <w:t>Consent is required unless waiving it is justifi</w:t>
            </w:r>
            <w:r w:rsidR="00812D43">
              <w:t>ed</w:t>
            </w:r>
            <w:r>
              <w:t xml:space="preserve">. </w:t>
            </w:r>
          </w:p>
        </w:tc>
        <w:tc>
          <w:tcPr>
            <w:tcW w:w="5670" w:type="dxa"/>
            <w:shd w:val="clear" w:color="auto" w:fill="E7E6E6"/>
            <w:vAlign w:val="center"/>
          </w:tcPr>
          <w:p w14:paraId="79FE7A7B" w14:textId="77777777" w:rsidR="008F1C61" w:rsidRDefault="008F1C61" w:rsidP="008B4418">
            <w:r>
              <w:t>Consent is required unless waiving it is justified.</w:t>
            </w:r>
          </w:p>
        </w:tc>
        <w:tc>
          <w:tcPr>
            <w:tcW w:w="3420" w:type="dxa"/>
            <w:shd w:val="clear" w:color="auto" w:fill="B4C6E7"/>
            <w:vAlign w:val="center"/>
          </w:tcPr>
          <w:p w14:paraId="32ADC04A" w14:textId="77777777" w:rsidR="008F1C61" w:rsidRDefault="008F1C61" w:rsidP="008B4418">
            <w:r>
              <w:t xml:space="preserve">A simplified consent form and process may be used for exempt research. Parental consent must be obtained (unless waiving it is justified) for research that includes children. </w:t>
            </w:r>
          </w:p>
        </w:tc>
      </w:tr>
      <w:tr w:rsidR="008B4418" w14:paraId="2BFA0B80" w14:textId="77777777">
        <w:tc>
          <w:tcPr>
            <w:tcW w:w="5310" w:type="dxa"/>
            <w:shd w:val="clear" w:color="auto" w:fill="auto"/>
            <w:vAlign w:val="center"/>
          </w:tcPr>
          <w:p w14:paraId="4DD526D9" w14:textId="77777777" w:rsidR="008F1C61" w:rsidRDefault="008F1C61" w:rsidP="008B4418">
            <w:r>
              <w:t>Special populations</w:t>
            </w:r>
          </w:p>
          <w:p w14:paraId="0540404E" w14:textId="665B3BB7" w:rsidR="008F1C61" w:rsidRDefault="008F1C61" w:rsidP="008B4418">
            <w:pPr>
              <w:pStyle w:val="ListParagraph"/>
              <w:numPr>
                <w:ilvl w:val="0"/>
                <w:numId w:val="27"/>
              </w:numPr>
              <w:contextualSpacing/>
            </w:pPr>
            <w:r>
              <w:t>Children</w:t>
            </w:r>
            <w:r w:rsidR="00F45BA8">
              <w:t>:</w:t>
            </w:r>
            <w:r>
              <w:t xml:space="preserve"> </w:t>
            </w:r>
            <w:r w:rsidR="00537903">
              <w:t xml:space="preserve">allowed to </w:t>
            </w:r>
            <w:r>
              <w:t>include children</w:t>
            </w:r>
            <w:r w:rsidR="000A4810">
              <w:t>,</w:t>
            </w:r>
            <w:r>
              <w:t xml:space="preserve"> except </w:t>
            </w:r>
            <w:r w:rsidR="00537903">
              <w:t xml:space="preserve">in </w:t>
            </w:r>
            <w:r>
              <w:t>category 3 research and surveys and interviews conducted under category 2</w:t>
            </w:r>
          </w:p>
          <w:p w14:paraId="0CEFB247" w14:textId="21E9638B" w:rsidR="008F1C61" w:rsidRDefault="008F1C61" w:rsidP="008B4418">
            <w:pPr>
              <w:pStyle w:val="ListParagraph"/>
              <w:numPr>
                <w:ilvl w:val="0"/>
                <w:numId w:val="27"/>
              </w:numPr>
              <w:contextualSpacing/>
            </w:pPr>
            <w:r>
              <w:t>Pregnant women</w:t>
            </w:r>
            <w:r w:rsidR="00F45BA8">
              <w:t>:</w:t>
            </w:r>
            <w:r>
              <w:t xml:space="preserve"> allowed under any category</w:t>
            </w:r>
          </w:p>
          <w:p w14:paraId="6296FB46" w14:textId="119C8917" w:rsidR="008F1C61" w:rsidRDefault="008F1C61" w:rsidP="008B4418">
            <w:pPr>
              <w:pStyle w:val="ListParagraph"/>
              <w:numPr>
                <w:ilvl w:val="0"/>
                <w:numId w:val="27"/>
              </w:numPr>
              <w:contextualSpacing/>
            </w:pPr>
            <w:r>
              <w:t>Prisoners</w:t>
            </w:r>
            <w:r w:rsidR="00F45BA8">
              <w:t>:</w:t>
            </w:r>
            <w:r>
              <w:t xml:space="preserve"> allowed, but only if they are </w:t>
            </w:r>
            <w:r w:rsidRPr="008B4418">
              <w:rPr>
                <w:u w:val="single"/>
              </w:rPr>
              <w:t>incidentally</w:t>
            </w:r>
            <w:r>
              <w:t xml:space="preserve"> included as part of a broader recruitment population </w:t>
            </w:r>
          </w:p>
        </w:tc>
        <w:tc>
          <w:tcPr>
            <w:tcW w:w="5670" w:type="dxa"/>
            <w:shd w:val="clear" w:color="auto" w:fill="E7E6E6"/>
            <w:vAlign w:val="center"/>
          </w:tcPr>
          <w:p w14:paraId="55329015" w14:textId="690C5207" w:rsidR="008F1C61" w:rsidRDefault="008F1C61" w:rsidP="008B4418">
            <w:r>
              <w:t>Special Protections</w:t>
            </w:r>
          </w:p>
          <w:p w14:paraId="0FCE65CD" w14:textId="3D43F6AC" w:rsidR="008F1C61" w:rsidRDefault="008F1C61" w:rsidP="008B4418">
            <w:pPr>
              <w:pStyle w:val="ListParagraph"/>
              <w:numPr>
                <w:ilvl w:val="0"/>
                <w:numId w:val="27"/>
              </w:numPr>
              <w:contextualSpacing/>
            </w:pPr>
            <w:r>
              <w:t>Children</w:t>
            </w:r>
            <w:r w:rsidR="000A4810">
              <w:t>:</w:t>
            </w:r>
            <w:r>
              <w:t xml:space="preserve"> allowed under any category</w:t>
            </w:r>
          </w:p>
          <w:p w14:paraId="7C2419B9" w14:textId="735AEA9D" w:rsidR="008F1C61" w:rsidRDefault="008F1C61" w:rsidP="008B4418">
            <w:pPr>
              <w:pStyle w:val="ListParagraph"/>
              <w:numPr>
                <w:ilvl w:val="0"/>
                <w:numId w:val="27"/>
              </w:numPr>
              <w:contextualSpacing/>
            </w:pPr>
            <w:r>
              <w:t>Pregnant women</w:t>
            </w:r>
            <w:r w:rsidR="000A4810">
              <w:t>:</w:t>
            </w:r>
            <w:r>
              <w:t xml:space="preserve"> allowed under any category</w:t>
            </w:r>
          </w:p>
          <w:p w14:paraId="0FFBCD83" w14:textId="01E789D7" w:rsidR="008F1C61" w:rsidRDefault="008F1C61" w:rsidP="008B4418">
            <w:pPr>
              <w:pStyle w:val="ListParagraph"/>
              <w:numPr>
                <w:ilvl w:val="0"/>
                <w:numId w:val="27"/>
              </w:numPr>
              <w:contextualSpacing/>
            </w:pPr>
            <w:r>
              <w:t>Prisoners</w:t>
            </w:r>
            <w:r w:rsidR="000A4810">
              <w:t>:</w:t>
            </w:r>
            <w:r>
              <w:t xml:space="preserve"> allowed under any category</w:t>
            </w:r>
          </w:p>
        </w:tc>
        <w:tc>
          <w:tcPr>
            <w:tcW w:w="3420" w:type="dxa"/>
            <w:shd w:val="clear" w:color="auto" w:fill="B4C6E7"/>
            <w:vAlign w:val="center"/>
          </w:tcPr>
          <w:p w14:paraId="4A07E571" w14:textId="77777777" w:rsidR="008F1C61" w:rsidRDefault="008F1C61" w:rsidP="008B4418">
            <w:r>
              <w:t xml:space="preserve">Protections for other special populations must be considered when developing research procedures. These populations may include those who are mentally or cognitively impaired, some aging individuals, or socially and economically disadvantaged individuals. </w:t>
            </w:r>
          </w:p>
        </w:tc>
      </w:tr>
    </w:tbl>
    <w:p w14:paraId="3297F31C" w14:textId="77777777" w:rsidR="008F1C61" w:rsidRDefault="008F1C61" w:rsidP="008F1C61">
      <w:r>
        <w:br w:type="page"/>
      </w:r>
    </w:p>
    <w:tbl>
      <w:tblPr>
        <w:tblW w:w="144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8280"/>
      </w:tblGrid>
      <w:tr w:rsidR="008F1C61" w14:paraId="2B42DCB4" w14:textId="77777777">
        <w:tc>
          <w:tcPr>
            <w:tcW w:w="14400" w:type="dxa"/>
            <w:gridSpan w:val="2"/>
            <w:shd w:val="clear" w:color="auto" w:fill="1F3864"/>
            <w:vAlign w:val="center"/>
          </w:tcPr>
          <w:p w14:paraId="0A564933" w14:textId="77777777" w:rsidR="008F1C61" w:rsidRPr="008B4418" w:rsidRDefault="008F1C61" w:rsidP="008B4418">
            <w:pPr>
              <w:jc w:val="center"/>
              <w:rPr>
                <w:b/>
              </w:rPr>
            </w:pPr>
            <w:r w:rsidRPr="008B4418">
              <w:rPr>
                <w:b/>
                <w:color w:val="FFFFFF"/>
                <w:sz w:val="24"/>
              </w:rPr>
              <w:t xml:space="preserve">Levels of Review – Level I/Exempt Category </w:t>
            </w:r>
          </w:p>
        </w:tc>
      </w:tr>
      <w:tr w:rsidR="008F1C61" w14:paraId="11C613D0" w14:textId="77777777">
        <w:tc>
          <w:tcPr>
            <w:tcW w:w="6120" w:type="dxa"/>
            <w:shd w:val="clear" w:color="auto" w:fill="auto"/>
            <w:vAlign w:val="center"/>
          </w:tcPr>
          <w:p w14:paraId="3F19C18E" w14:textId="77777777" w:rsidR="008F1C61" w:rsidRPr="009C4946" w:rsidRDefault="008F1C61" w:rsidP="008B4418">
            <w:pPr>
              <w:jc w:val="center"/>
              <w:rPr>
                <w:b/>
                <w:bCs/>
                <w:sz w:val="24"/>
              </w:rPr>
            </w:pPr>
            <w:r w:rsidRPr="009C4946">
              <w:rPr>
                <w:b/>
                <w:bCs/>
                <w:sz w:val="24"/>
              </w:rPr>
              <w:t>Level I/Exempt Category</w:t>
            </w:r>
          </w:p>
        </w:tc>
        <w:tc>
          <w:tcPr>
            <w:tcW w:w="8280" w:type="dxa"/>
            <w:shd w:val="clear" w:color="auto" w:fill="B4C6E7"/>
            <w:vAlign w:val="center"/>
          </w:tcPr>
          <w:p w14:paraId="5A232818" w14:textId="77777777" w:rsidR="008F1C61" w:rsidRPr="009C4946" w:rsidRDefault="008F1C61" w:rsidP="008B4418">
            <w:pPr>
              <w:jc w:val="center"/>
              <w:rPr>
                <w:b/>
                <w:bCs/>
                <w:sz w:val="24"/>
              </w:rPr>
            </w:pPr>
            <w:r w:rsidRPr="009C4946">
              <w:rPr>
                <w:b/>
                <w:bCs/>
                <w:sz w:val="24"/>
              </w:rPr>
              <w:t>Notes</w:t>
            </w:r>
          </w:p>
        </w:tc>
      </w:tr>
      <w:tr w:rsidR="008F1C61" w14:paraId="197820F8" w14:textId="77777777">
        <w:tc>
          <w:tcPr>
            <w:tcW w:w="6120" w:type="dxa"/>
            <w:shd w:val="clear" w:color="auto" w:fill="auto"/>
            <w:vAlign w:val="center"/>
          </w:tcPr>
          <w:p w14:paraId="76F2C609" w14:textId="038DF4A4" w:rsidR="008F1C61" w:rsidRPr="008B4418" w:rsidRDefault="008F1C61" w:rsidP="5E1FC3AA">
            <w:pPr>
              <w:rPr>
                <w:rFonts w:cs="Calibri"/>
                <w:b/>
                <w:bCs/>
              </w:rPr>
            </w:pPr>
            <w:r w:rsidRPr="5E1FC3AA">
              <w:rPr>
                <w:rFonts w:cs="Calibri"/>
              </w:rPr>
              <w:t>(C</w:t>
            </w:r>
            <w:r w:rsidRPr="5E1FC3AA">
              <w:rPr>
                <w:rFonts w:cs="Calibri"/>
                <w:b/>
                <w:bCs/>
              </w:rPr>
              <w:t>ategory 1</w:t>
            </w:r>
            <w:r w:rsidRPr="5E1FC3AA">
              <w:rPr>
                <w:rFonts w:cs="Calibri"/>
              </w:rPr>
              <w:t>)</w:t>
            </w:r>
            <w:r w:rsidR="09E7712A" w:rsidRPr="5E1FC3AA">
              <w:rPr>
                <w:rFonts w:cs="Calibri"/>
              </w:rPr>
              <w:t xml:space="preserve"> </w:t>
            </w:r>
            <w:r w:rsidRPr="5E1FC3AA">
              <w:rPr>
                <w:rFonts w:cs="Calibri"/>
                <w:b/>
                <w:bCs/>
              </w:rPr>
              <w:t>Research involving normal</w:t>
            </w:r>
            <w:r w:rsidRPr="5E1FC3AA">
              <w:rPr>
                <w:rFonts w:cs="Calibri"/>
              </w:rPr>
              <w:t xml:space="preserve"> </w:t>
            </w:r>
            <w:r w:rsidRPr="5E1FC3AA">
              <w:rPr>
                <w:rFonts w:cs="Calibri"/>
                <w:b/>
                <w:bCs/>
              </w:rPr>
              <w:t xml:space="preserve">educational practices performed in educational settings </w:t>
            </w:r>
          </w:p>
          <w:p w14:paraId="5AA43F4E" w14:textId="77777777" w:rsidR="008F1C61" w:rsidRPr="008B4418" w:rsidRDefault="008F1C61" w:rsidP="008B4418">
            <w:pPr>
              <w:pStyle w:val="ListParagraph"/>
              <w:numPr>
                <w:ilvl w:val="0"/>
                <w:numId w:val="34"/>
              </w:numPr>
              <w:ind w:left="702" w:hanging="360"/>
              <w:contextualSpacing/>
              <w:rPr>
                <w:rFonts w:cs="Calibri"/>
                <w:b/>
              </w:rPr>
            </w:pPr>
            <w:r w:rsidRPr="008B4418">
              <w:rPr>
                <w:rFonts w:cs="Calibri"/>
                <w:b/>
              </w:rPr>
              <w:t>Conducted in established/commonly accepted educational settings, AND</w:t>
            </w:r>
          </w:p>
          <w:p w14:paraId="6A1D6CDF" w14:textId="77777777" w:rsidR="008F1C61" w:rsidRPr="008B4418" w:rsidRDefault="008F1C61" w:rsidP="008B4418">
            <w:pPr>
              <w:pStyle w:val="ListParagraph"/>
              <w:numPr>
                <w:ilvl w:val="0"/>
                <w:numId w:val="34"/>
              </w:numPr>
              <w:ind w:left="702" w:hanging="360"/>
              <w:contextualSpacing/>
              <w:rPr>
                <w:rFonts w:cs="Calibri"/>
                <w:b/>
              </w:rPr>
            </w:pPr>
            <w:r w:rsidRPr="008B4418">
              <w:rPr>
                <w:rFonts w:cs="Calibri"/>
                <w:b/>
              </w:rPr>
              <w:t>Research is on the effectiveness or comparisons of instructional techniques, curriculum, or classroom management techniques, AND</w:t>
            </w:r>
          </w:p>
          <w:p w14:paraId="05E6A98A" w14:textId="7AE76D56" w:rsidR="008F1C61" w:rsidRPr="008B4418" w:rsidRDefault="008F1C61" w:rsidP="008B4418">
            <w:pPr>
              <w:pStyle w:val="ListParagraph"/>
              <w:numPr>
                <w:ilvl w:val="0"/>
                <w:numId w:val="34"/>
              </w:numPr>
              <w:ind w:left="702" w:hanging="360"/>
              <w:contextualSpacing/>
              <w:rPr>
                <w:rFonts w:cs="Calibri"/>
              </w:rPr>
            </w:pPr>
            <w:r w:rsidRPr="008B4418">
              <w:rPr>
                <w:rFonts w:cs="Calibri"/>
                <w:b/>
              </w:rPr>
              <w:t>The research is not likely to have an adverse impact</w:t>
            </w:r>
            <w:r w:rsidR="002B1D15">
              <w:rPr>
                <w:rFonts w:cs="Calibri"/>
                <w:b/>
              </w:rPr>
              <w:t xml:space="preserve"> </w:t>
            </w:r>
            <w:proofErr w:type="gramStart"/>
            <w:r w:rsidR="002B1D15">
              <w:rPr>
                <w:rFonts w:cs="Calibri"/>
                <w:b/>
              </w:rPr>
              <w:t>on</w:t>
            </w:r>
            <w:r w:rsidRPr="008B4418">
              <w:rPr>
                <w:rFonts w:cs="Calibri"/>
                <w:b/>
              </w:rPr>
              <w:t xml:space="preserve">  </w:t>
            </w:r>
            <w:r w:rsidR="002B1D15">
              <w:rPr>
                <w:rFonts w:cs="Calibri"/>
                <w:b/>
              </w:rPr>
              <w:t>the</w:t>
            </w:r>
            <w:proofErr w:type="gramEnd"/>
            <w:r w:rsidR="002B1D15">
              <w:rPr>
                <w:rFonts w:cs="Calibri"/>
                <w:b/>
              </w:rPr>
              <w:t xml:space="preserve"> </w:t>
            </w:r>
            <w:r w:rsidRPr="008B4418">
              <w:rPr>
                <w:rFonts w:cs="Calibri"/>
                <w:b/>
              </w:rPr>
              <w:t>student</w:t>
            </w:r>
            <w:r w:rsidR="002B1D15">
              <w:rPr>
                <w:rFonts w:cs="Calibri"/>
                <w:b/>
              </w:rPr>
              <w:t>s’</w:t>
            </w:r>
            <w:r w:rsidRPr="008B4418">
              <w:rPr>
                <w:rFonts w:cs="Calibri"/>
                <w:b/>
              </w:rPr>
              <w:t xml:space="preserve"> ability to learn</w:t>
            </w:r>
            <w:r w:rsidR="002B1D15">
              <w:rPr>
                <w:rFonts w:cs="Calibri"/>
                <w:b/>
              </w:rPr>
              <w:t xml:space="preserve"> the</w:t>
            </w:r>
            <w:r w:rsidRPr="008B4418">
              <w:rPr>
                <w:rFonts w:cs="Calibri"/>
                <w:b/>
              </w:rPr>
              <w:t xml:space="preserve"> required content</w:t>
            </w:r>
            <w:r w:rsidR="002B1D15">
              <w:rPr>
                <w:rFonts w:cs="Calibri"/>
                <w:b/>
              </w:rPr>
              <w:t>,</w:t>
            </w:r>
            <w:r w:rsidRPr="008B4418">
              <w:rPr>
                <w:rFonts w:cs="Calibri"/>
                <w:b/>
              </w:rPr>
              <w:t xml:space="preserve"> or</w:t>
            </w:r>
            <w:r w:rsidR="002B1D15">
              <w:rPr>
                <w:rFonts w:cs="Calibri"/>
                <w:b/>
              </w:rPr>
              <w:t xml:space="preserve"> on</w:t>
            </w:r>
            <w:r w:rsidRPr="008B4418">
              <w:rPr>
                <w:rFonts w:cs="Calibri"/>
                <w:b/>
              </w:rPr>
              <w:t xml:space="preserve"> the evaluation of the teacher</w:t>
            </w:r>
          </w:p>
        </w:tc>
        <w:tc>
          <w:tcPr>
            <w:tcW w:w="8280" w:type="dxa"/>
            <w:shd w:val="clear" w:color="auto" w:fill="B4C6E7"/>
            <w:vAlign w:val="center"/>
          </w:tcPr>
          <w:p w14:paraId="7D02D6A4" w14:textId="4A797592" w:rsidR="008F1C61" w:rsidRPr="008E1DDE" w:rsidRDefault="008F1C61" w:rsidP="008B4418">
            <w:r w:rsidRPr="008E1DDE">
              <w:t xml:space="preserve">If data collection involves interviews, observations, or surveys that go beyond the scope of an educational activity </w:t>
            </w:r>
            <w:r w:rsidRPr="008B4418">
              <w:rPr>
                <w:u w:val="single"/>
              </w:rPr>
              <w:t>and</w:t>
            </w:r>
            <w:r w:rsidRPr="008E1DDE">
              <w:t xml:space="preserve"> involve children</w:t>
            </w:r>
            <w:r w:rsidR="007E2A88">
              <w:t>,</w:t>
            </w:r>
            <w:r w:rsidRPr="008E1DDE">
              <w:t xml:space="preserve"> a level II/III form is required</w:t>
            </w:r>
            <w:r>
              <w:t>.</w:t>
            </w:r>
            <w:r w:rsidRPr="008E1DDE">
              <w:t xml:space="preserve"> </w:t>
            </w:r>
            <w:r>
              <w:t>I</w:t>
            </w:r>
            <w:r w:rsidRPr="008E1DDE">
              <w:t>f the</w:t>
            </w:r>
            <w:r>
              <w:t xml:space="preserve"> interviews/observations/surveys</w:t>
            </w:r>
            <w:r w:rsidRPr="008E1DDE">
              <w:t xml:space="preserve"> </w:t>
            </w:r>
            <w:r>
              <w:t xml:space="preserve">go beyond the scope of the activity and </w:t>
            </w:r>
            <w:r w:rsidRPr="008E1DDE">
              <w:t>involve adults</w:t>
            </w:r>
            <w:r w:rsidR="007E2A88">
              <w:t>,</w:t>
            </w:r>
            <w:r w:rsidRPr="008E1DDE">
              <w:t xml:space="preserve"> they must</w:t>
            </w:r>
            <w:r>
              <w:t xml:space="preserve"> also</w:t>
            </w:r>
            <w:r w:rsidRPr="008E1DDE">
              <w:t xml:space="preserve"> be described in exemption category 2. </w:t>
            </w:r>
          </w:p>
          <w:p w14:paraId="70F144AA" w14:textId="77777777" w:rsidR="008F1C61" w:rsidRPr="008E1DDE" w:rsidRDefault="008F1C61" w:rsidP="008B4418"/>
          <w:p w14:paraId="72E42DF5" w14:textId="77777777" w:rsidR="008F1C61" w:rsidRPr="008E1DDE" w:rsidRDefault="008F1C61" w:rsidP="008B4418">
            <w:r w:rsidRPr="008E1DDE">
              <w:t xml:space="preserve">Any research activity involving minors that is being performed in an educational setting requires a letter of support from the official in charge of the setting (principal, superintendent or equivalent).  </w:t>
            </w:r>
          </w:p>
          <w:p w14:paraId="36C4081D" w14:textId="77777777" w:rsidR="008F1C61" w:rsidRPr="008B4418" w:rsidRDefault="008F1C61" w:rsidP="008B4418">
            <w:pPr>
              <w:rPr>
                <w:b/>
                <w:sz w:val="24"/>
              </w:rPr>
            </w:pPr>
          </w:p>
        </w:tc>
      </w:tr>
      <w:tr w:rsidR="008F1C61" w14:paraId="0F334E8D" w14:textId="77777777">
        <w:tc>
          <w:tcPr>
            <w:tcW w:w="6120" w:type="dxa"/>
            <w:shd w:val="clear" w:color="auto" w:fill="auto"/>
            <w:vAlign w:val="center"/>
          </w:tcPr>
          <w:p w14:paraId="30959B2B" w14:textId="38EEC2B7" w:rsidR="008F1C61" w:rsidRPr="008B4418" w:rsidRDefault="008F1C61" w:rsidP="5E1FC3AA">
            <w:pPr>
              <w:rPr>
                <w:b/>
                <w:bCs/>
              </w:rPr>
            </w:pPr>
            <w:r w:rsidRPr="5E1FC3AA">
              <w:rPr>
                <w:b/>
                <w:bCs/>
              </w:rPr>
              <w:t>(Category 2) Research that only includes surveys, interviews (focus groups), educational tests, and</w:t>
            </w:r>
            <w:r w:rsidR="20F20385" w:rsidRPr="5E1FC3AA">
              <w:rPr>
                <w:b/>
                <w:bCs/>
              </w:rPr>
              <w:t>/or</w:t>
            </w:r>
            <w:r w:rsidRPr="5E1FC3AA">
              <w:rPr>
                <w:b/>
                <w:bCs/>
              </w:rPr>
              <w:t xml:space="preserve"> observation of public behavior (including audio/visual recording)</w:t>
            </w:r>
          </w:p>
          <w:p w14:paraId="766E88A0" w14:textId="77777777" w:rsidR="008F1C61" w:rsidRPr="008B4418" w:rsidRDefault="008F1C61" w:rsidP="008B4418">
            <w:pPr>
              <w:pStyle w:val="ListParagraph"/>
              <w:numPr>
                <w:ilvl w:val="0"/>
                <w:numId w:val="35"/>
              </w:numPr>
              <w:contextualSpacing/>
              <w:rPr>
                <w:b/>
              </w:rPr>
            </w:pPr>
            <w:r w:rsidRPr="008B4418">
              <w:rPr>
                <w:b/>
              </w:rPr>
              <w:t>Information recorded in a non-identifiable manner, OR</w:t>
            </w:r>
          </w:p>
          <w:p w14:paraId="097C5152" w14:textId="1A2E572A" w:rsidR="008F1C61" w:rsidRPr="008B4418" w:rsidRDefault="008F1C61" w:rsidP="5E1FC3AA">
            <w:pPr>
              <w:pStyle w:val="ListParagraph"/>
              <w:numPr>
                <w:ilvl w:val="0"/>
                <w:numId w:val="35"/>
              </w:numPr>
              <w:contextualSpacing/>
              <w:rPr>
                <w:b/>
                <w:bCs/>
              </w:rPr>
            </w:pPr>
            <w:r w:rsidRPr="5E1FC3AA">
              <w:rPr>
                <w:b/>
                <w:bCs/>
              </w:rPr>
              <w:t>Information recorded would not place subjects at risk o</w:t>
            </w:r>
            <w:r w:rsidR="008D19C0">
              <w:rPr>
                <w:b/>
                <w:bCs/>
              </w:rPr>
              <w:t>f</w:t>
            </w:r>
            <w:r w:rsidRPr="5E1FC3AA">
              <w:rPr>
                <w:b/>
                <w:bCs/>
              </w:rPr>
              <w:t xml:space="preserve"> harm</w:t>
            </w:r>
          </w:p>
        </w:tc>
        <w:tc>
          <w:tcPr>
            <w:tcW w:w="8280" w:type="dxa"/>
            <w:shd w:val="clear" w:color="auto" w:fill="B4C6E7"/>
            <w:vAlign w:val="center"/>
          </w:tcPr>
          <w:p w14:paraId="01487F8C" w14:textId="44DA944F" w:rsidR="008F1C61" w:rsidRPr="008B4418" w:rsidRDefault="008F1C61" w:rsidP="008B4418">
            <w:pPr>
              <w:pStyle w:val="Default"/>
              <w:numPr>
                <w:ilvl w:val="0"/>
                <w:numId w:val="31"/>
              </w:numPr>
              <w:ind w:left="255" w:hanging="255"/>
              <w:rPr>
                <w:rFonts w:ascii="Calibri" w:hAnsi="Calibri" w:cs="Calibri"/>
                <w:color w:val="auto"/>
                <w:sz w:val="22"/>
                <w:szCs w:val="22"/>
              </w:rPr>
            </w:pPr>
            <w:r w:rsidRPr="5E1FC3AA">
              <w:rPr>
                <w:rFonts w:ascii="Calibri" w:hAnsi="Calibri" w:cs="Calibri"/>
                <w:color w:val="auto"/>
                <w:sz w:val="22"/>
                <w:szCs w:val="22"/>
              </w:rPr>
              <w:t xml:space="preserve">Identifiers may be collected </w:t>
            </w:r>
            <w:r w:rsidRPr="5E1FC3AA">
              <w:rPr>
                <w:rFonts w:ascii="Calibri" w:hAnsi="Calibri" w:cs="Calibri"/>
                <w:color w:val="auto"/>
                <w:sz w:val="22"/>
                <w:szCs w:val="22"/>
                <w:u w:val="single"/>
              </w:rPr>
              <w:t>unless</w:t>
            </w:r>
            <w:r w:rsidRPr="5E1FC3AA">
              <w:rPr>
                <w:rFonts w:ascii="Calibri" w:hAnsi="Calibri" w:cs="Calibri"/>
                <w:color w:val="auto"/>
                <w:sz w:val="22"/>
                <w:szCs w:val="22"/>
              </w:rPr>
              <w:t xml:space="preserve">: </w:t>
            </w:r>
            <w:r w:rsidR="3A99BAE8" w:rsidRPr="5E1FC3AA">
              <w:rPr>
                <w:rFonts w:ascii="Calibri" w:hAnsi="Calibri" w:cs="Calibri"/>
                <w:color w:val="auto"/>
                <w:sz w:val="22"/>
                <w:szCs w:val="22"/>
              </w:rPr>
              <w:t>d</w:t>
            </w:r>
            <w:r w:rsidRPr="5E1FC3AA">
              <w:rPr>
                <w:rFonts w:ascii="Calibri" w:hAnsi="Calibri" w:cs="Calibri"/>
                <w:color w:val="auto"/>
                <w:sz w:val="22"/>
                <w:szCs w:val="22"/>
              </w:rPr>
              <w:t xml:space="preserve">isclosure of identifiable responses could place subjects at risk (legally, or </w:t>
            </w:r>
            <w:r w:rsidR="66A15E91" w:rsidRPr="5E1FC3AA">
              <w:rPr>
                <w:rFonts w:ascii="Calibri" w:hAnsi="Calibri" w:cs="Calibri"/>
                <w:color w:val="auto"/>
                <w:sz w:val="22"/>
                <w:szCs w:val="22"/>
              </w:rPr>
              <w:t xml:space="preserve">of </w:t>
            </w:r>
            <w:r w:rsidRPr="5E1FC3AA">
              <w:rPr>
                <w:rFonts w:ascii="Calibri" w:hAnsi="Calibri" w:cs="Calibri"/>
                <w:color w:val="auto"/>
                <w:sz w:val="22"/>
                <w:szCs w:val="22"/>
              </w:rPr>
              <w:t>damag</w:t>
            </w:r>
            <w:r w:rsidR="66A15E91" w:rsidRPr="5E1FC3AA">
              <w:rPr>
                <w:rFonts w:ascii="Calibri" w:hAnsi="Calibri" w:cs="Calibri"/>
                <w:color w:val="auto"/>
                <w:sz w:val="22"/>
                <w:szCs w:val="22"/>
              </w:rPr>
              <w:t>ing</w:t>
            </w:r>
            <w:r w:rsidR="7667CF6E" w:rsidRPr="5E1FC3AA">
              <w:rPr>
                <w:rFonts w:ascii="Calibri" w:hAnsi="Calibri" w:cs="Calibri"/>
                <w:color w:val="auto"/>
                <w:sz w:val="22"/>
                <w:szCs w:val="22"/>
              </w:rPr>
              <w:t xml:space="preserve"> their</w:t>
            </w:r>
            <w:r w:rsidRPr="5E1FC3AA">
              <w:rPr>
                <w:rFonts w:ascii="Calibri" w:hAnsi="Calibri" w:cs="Calibri"/>
                <w:color w:val="auto"/>
                <w:sz w:val="22"/>
                <w:szCs w:val="22"/>
              </w:rPr>
              <w:t xml:space="preserve"> financial standing, employability, or reputation) OR data sensitivity increases overall risk </w:t>
            </w:r>
          </w:p>
          <w:p w14:paraId="5551DFA5" w14:textId="77777777" w:rsidR="008F1C61" w:rsidRPr="008B4418" w:rsidRDefault="008F1C61" w:rsidP="008B4418">
            <w:pPr>
              <w:pStyle w:val="Default"/>
              <w:numPr>
                <w:ilvl w:val="0"/>
                <w:numId w:val="31"/>
              </w:numPr>
              <w:ind w:left="255" w:hanging="255"/>
              <w:rPr>
                <w:rFonts w:ascii="Calibri" w:hAnsi="Calibri" w:cs="Calibri"/>
                <w:color w:val="auto"/>
                <w:sz w:val="22"/>
                <w:szCs w:val="18"/>
              </w:rPr>
            </w:pPr>
            <w:r w:rsidRPr="008B4418">
              <w:rPr>
                <w:rFonts w:ascii="Calibri" w:hAnsi="Calibri" w:cs="Calibri"/>
                <w:color w:val="auto"/>
                <w:sz w:val="22"/>
                <w:szCs w:val="18"/>
              </w:rPr>
              <w:t xml:space="preserve">Indirect identifiers are more than one data element that can be used in combination or with other information to ascertain someone’s identity. Indirect identifiers must be carefully considered when which IRB application to complete    </w:t>
            </w:r>
          </w:p>
          <w:p w14:paraId="40FDA937" w14:textId="77777777" w:rsidR="008F1C61" w:rsidRPr="008B4418" w:rsidRDefault="008F1C61" w:rsidP="008B4418">
            <w:pPr>
              <w:pStyle w:val="Default"/>
              <w:numPr>
                <w:ilvl w:val="0"/>
                <w:numId w:val="31"/>
              </w:numPr>
              <w:ind w:left="255" w:hanging="255"/>
              <w:rPr>
                <w:rFonts w:ascii="Calibri" w:hAnsi="Calibri" w:cs="Calibri"/>
                <w:color w:val="auto"/>
                <w:sz w:val="22"/>
                <w:szCs w:val="18"/>
              </w:rPr>
            </w:pPr>
            <w:r w:rsidRPr="008B4418">
              <w:rPr>
                <w:rFonts w:ascii="Calibri" w:hAnsi="Calibri" w:cs="Calibri"/>
                <w:color w:val="auto"/>
                <w:sz w:val="22"/>
                <w:szCs w:val="18"/>
              </w:rPr>
              <w:t>Identifiers should only be collected when necessary</w:t>
            </w:r>
          </w:p>
          <w:p w14:paraId="5E5173FA" w14:textId="77777777" w:rsidR="008F1C61" w:rsidRPr="008B4418" w:rsidRDefault="008F1C61" w:rsidP="008B4418">
            <w:pPr>
              <w:pStyle w:val="Default"/>
              <w:numPr>
                <w:ilvl w:val="0"/>
                <w:numId w:val="31"/>
              </w:numPr>
              <w:ind w:left="255" w:hanging="255"/>
              <w:rPr>
                <w:rFonts w:ascii="Calibri" w:hAnsi="Calibri" w:cs="Calibri"/>
                <w:color w:val="auto"/>
                <w:sz w:val="22"/>
                <w:szCs w:val="18"/>
              </w:rPr>
            </w:pPr>
            <w:r w:rsidRPr="008B4418">
              <w:rPr>
                <w:rFonts w:ascii="Calibri" w:hAnsi="Calibri" w:cs="Calibri"/>
                <w:color w:val="auto"/>
                <w:sz w:val="22"/>
                <w:szCs w:val="18"/>
              </w:rPr>
              <w:t>Linking data to additional PII is not permissible under this category (see level II, category 7)</w:t>
            </w:r>
          </w:p>
          <w:p w14:paraId="75DB2538" w14:textId="77777777" w:rsidR="008F1C61" w:rsidRPr="008B4418" w:rsidRDefault="008F1C61" w:rsidP="008B4418">
            <w:pPr>
              <w:pStyle w:val="Default"/>
              <w:numPr>
                <w:ilvl w:val="1"/>
                <w:numId w:val="31"/>
              </w:numPr>
              <w:ind w:left="255" w:hanging="255"/>
              <w:rPr>
                <w:rFonts w:ascii="Calibri" w:hAnsi="Calibri" w:cs="Calibri"/>
                <w:color w:val="auto"/>
                <w:sz w:val="22"/>
                <w:szCs w:val="18"/>
              </w:rPr>
            </w:pPr>
            <w:r w:rsidRPr="008B4418">
              <w:rPr>
                <w:rFonts w:ascii="Calibri" w:hAnsi="Calibri" w:cs="Calibri"/>
                <w:color w:val="auto"/>
                <w:sz w:val="22"/>
                <w:szCs w:val="18"/>
              </w:rPr>
              <w:t xml:space="preserve">No interventions under this category (see exempt category 3 or level II category 7) </w:t>
            </w:r>
          </w:p>
          <w:p w14:paraId="732FC8A8" w14:textId="107867F4" w:rsidR="008F1C61" w:rsidRPr="008B4418" w:rsidRDefault="008F1C61" w:rsidP="008B4418">
            <w:pPr>
              <w:pStyle w:val="Default"/>
              <w:numPr>
                <w:ilvl w:val="1"/>
                <w:numId w:val="31"/>
              </w:numPr>
              <w:ind w:left="255" w:hanging="255"/>
              <w:rPr>
                <w:b/>
                <w:color w:val="auto"/>
              </w:rPr>
            </w:pPr>
            <w:r w:rsidRPr="008B4418">
              <w:rPr>
                <w:rFonts w:ascii="Calibri" w:hAnsi="Calibri" w:cs="Calibri"/>
                <w:color w:val="auto"/>
                <w:sz w:val="22"/>
                <w:szCs w:val="18"/>
              </w:rPr>
              <w:t xml:space="preserve">No surveys, interviews, or focus groups with </w:t>
            </w:r>
            <w:r w:rsidRPr="008B4418">
              <w:rPr>
                <w:rFonts w:ascii="Calibri" w:hAnsi="Calibri" w:cs="Calibri"/>
                <w:color w:val="auto"/>
                <w:sz w:val="22"/>
                <w:szCs w:val="18"/>
                <w:u w:val="single"/>
              </w:rPr>
              <w:t>children</w:t>
            </w:r>
            <w:r w:rsidR="00233A40">
              <w:rPr>
                <w:rFonts w:ascii="Calibri" w:hAnsi="Calibri" w:cs="Calibri"/>
                <w:color w:val="auto"/>
                <w:sz w:val="22"/>
                <w:szCs w:val="18"/>
              </w:rPr>
              <w:t xml:space="preserve"> </w:t>
            </w:r>
            <w:r w:rsidRPr="008B4418">
              <w:rPr>
                <w:rFonts w:ascii="Calibri" w:hAnsi="Calibri" w:cs="Calibri"/>
                <w:color w:val="auto"/>
                <w:sz w:val="22"/>
                <w:szCs w:val="18"/>
              </w:rPr>
              <w:t>(see level II, category 7)</w:t>
            </w:r>
          </w:p>
          <w:p w14:paraId="0B31C3DB" w14:textId="77777777" w:rsidR="008F1C61" w:rsidRPr="008B4418" w:rsidRDefault="008F1C61" w:rsidP="008B4418">
            <w:pPr>
              <w:pStyle w:val="Default"/>
              <w:numPr>
                <w:ilvl w:val="1"/>
                <w:numId w:val="31"/>
              </w:numPr>
              <w:ind w:left="255" w:hanging="255"/>
              <w:rPr>
                <w:b/>
                <w:color w:val="auto"/>
              </w:rPr>
            </w:pPr>
            <w:r w:rsidRPr="008B4418">
              <w:rPr>
                <w:rFonts w:ascii="Calibri" w:hAnsi="Calibri" w:cs="Calibri"/>
                <w:color w:val="auto"/>
                <w:sz w:val="22"/>
                <w:szCs w:val="18"/>
              </w:rPr>
              <w:t xml:space="preserve">No observations with </w:t>
            </w:r>
            <w:r w:rsidRPr="008B4418">
              <w:rPr>
                <w:rFonts w:ascii="Calibri" w:hAnsi="Calibri" w:cs="Calibri"/>
                <w:color w:val="auto"/>
                <w:sz w:val="22"/>
                <w:szCs w:val="18"/>
                <w:u w:val="single"/>
              </w:rPr>
              <w:t>children</w:t>
            </w:r>
            <w:r w:rsidRPr="008B4418">
              <w:rPr>
                <w:rFonts w:ascii="Calibri" w:hAnsi="Calibri" w:cs="Calibri"/>
                <w:color w:val="auto"/>
                <w:sz w:val="22"/>
                <w:szCs w:val="18"/>
              </w:rPr>
              <w:t xml:space="preserve"> if the researcher will participate in the observed activities </w:t>
            </w:r>
          </w:p>
        </w:tc>
      </w:tr>
      <w:tr w:rsidR="008F1C61" w14:paraId="47CEAA7A" w14:textId="77777777">
        <w:tc>
          <w:tcPr>
            <w:tcW w:w="6120" w:type="dxa"/>
            <w:shd w:val="clear" w:color="auto" w:fill="auto"/>
            <w:vAlign w:val="center"/>
          </w:tcPr>
          <w:p w14:paraId="3E592E38" w14:textId="41EFC401" w:rsidR="008F1C61" w:rsidRPr="008B4418" w:rsidRDefault="008F1C61" w:rsidP="5E1FC3AA">
            <w:pPr>
              <w:rPr>
                <w:b/>
                <w:bCs/>
              </w:rPr>
            </w:pPr>
            <w:r w:rsidRPr="5E1FC3AA">
              <w:rPr>
                <w:b/>
                <w:bCs/>
              </w:rPr>
              <w:t>(</w:t>
            </w:r>
            <w:r w:rsidR="00E72A12" w:rsidRPr="5E1FC3AA">
              <w:rPr>
                <w:b/>
                <w:bCs/>
              </w:rPr>
              <w:t>C</w:t>
            </w:r>
            <w:r w:rsidRPr="5E1FC3AA">
              <w:rPr>
                <w:b/>
                <w:bCs/>
              </w:rPr>
              <w:t>ategory 3) Benign behavioral interventions (</w:t>
            </w:r>
            <w:r w:rsidR="5A9DFD3E" w:rsidRPr="5E1FC3AA">
              <w:rPr>
                <w:b/>
                <w:bCs/>
              </w:rPr>
              <w:t>wherein</w:t>
            </w:r>
            <w:r w:rsidRPr="5E1FC3AA">
              <w:rPr>
                <w:b/>
                <w:bCs/>
              </w:rPr>
              <w:t xml:space="preserve"> information collection is limited to verbal or written responses, observation, data entry, or A/V recording)</w:t>
            </w:r>
          </w:p>
          <w:p w14:paraId="7E4F009E" w14:textId="77777777" w:rsidR="008F1C61" w:rsidRPr="008B4418" w:rsidRDefault="008F1C61" w:rsidP="008B4418">
            <w:pPr>
              <w:pStyle w:val="ListParagraph"/>
              <w:numPr>
                <w:ilvl w:val="0"/>
                <w:numId w:val="36"/>
              </w:numPr>
              <w:contextualSpacing/>
              <w:rPr>
                <w:b/>
              </w:rPr>
            </w:pPr>
            <w:r w:rsidRPr="008B4418">
              <w:rPr>
                <w:b/>
              </w:rPr>
              <w:t>Information recorded in a non-identifiable manner, OR</w:t>
            </w:r>
          </w:p>
          <w:p w14:paraId="37D7AB47" w14:textId="79327197" w:rsidR="008F1C61" w:rsidRPr="008B4418" w:rsidRDefault="008F1C61" w:rsidP="008B4418">
            <w:pPr>
              <w:pStyle w:val="ListParagraph"/>
              <w:numPr>
                <w:ilvl w:val="0"/>
                <w:numId w:val="36"/>
              </w:numPr>
              <w:contextualSpacing/>
              <w:rPr>
                <w:b/>
                <w:sz w:val="24"/>
              </w:rPr>
            </w:pPr>
            <w:r w:rsidRPr="008B4418">
              <w:rPr>
                <w:b/>
              </w:rPr>
              <w:t>Information recorded would not place subjects at risk o</w:t>
            </w:r>
            <w:r w:rsidR="00E10753">
              <w:rPr>
                <w:b/>
              </w:rPr>
              <w:t>f</w:t>
            </w:r>
            <w:r w:rsidRPr="008B4418">
              <w:rPr>
                <w:b/>
              </w:rPr>
              <w:t xml:space="preserve"> harm</w:t>
            </w:r>
          </w:p>
        </w:tc>
        <w:tc>
          <w:tcPr>
            <w:tcW w:w="8280" w:type="dxa"/>
            <w:shd w:val="clear" w:color="auto" w:fill="B4C6E7"/>
            <w:vAlign w:val="center"/>
          </w:tcPr>
          <w:p w14:paraId="67D2A2A0" w14:textId="77777777" w:rsidR="008F1C61" w:rsidRPr="008B4418" w:rsidRDefault="008F1C61" w:rsidP="008B4418">
            <w:pPr>
              <w:pStyle w:val="ListParagraph"/>
              <w:numPr>
                <w:ilvl w:val="0"/>
                <w:numId w:val="30"/>
              </w:numPr>
              <w:ind w:left="255" w:hanging="255"/>
              <w:contextualSpacing/>
              <w:rPr>
                <w:rFonts w:cs="Calibri"/>
              </w:rPr>
            </w:pPr>
            <w:r w:rsidRPr="008B4418">
              <w:rPr>
                <w:rFonts w:cs="Calibri"/>
              </w:rPr>
              <w:t>Intervention is brief (under 4 hours) even if data collection period is longer</w:t>
            </w:r>
          </w:p>
          <w:p w14:paraId="16B5BA2E" w14:textId="350DCE38" w:rsidR="008F1C61" w:rsidRPr="008B4418" w:rsidRDefault="008F1C61" w:rsidP="008B4418">
            <w:pPr>
              <w:pStyle w:val="ListParagraph"/>
              <w:numPr>
                <w:ilvl w:val="0"/>
                <w:numId w:val="30"/>
              </w:numPr>
              <w:ind w:left="255" w:hanging="255"/>
              <w:contextualSpacing/>
              <w:rPr>
                <w:rFonts w:cs="Calibri"/>
              </w:rPr>
            </w:pPr>
            <w:r w:rsidRPr="008B4418">
              <w:rPr>
                <w:rFonts w:cs="Calibri"/>
              </w:rPr>
              <w:t>Benign means the procedures are harmless, painless, not physically invasive, and not likely to have a significant</w:t>
            </w:r>
            <w:r w:rsidR="004708F7">
              <w:rPr>
                <w:rFonts w:cs="Calibri"/>
              </w:rPr>
              <w:t>,</w:t>
            </w:r>
            <w:r w:rsidRPr="008B4418">
              <w:rPr>
                <w:rFonts w:cs="Calibri"/>
              </w:rPr>
              <w:t xml:space="preserve"> adverse</w:t>
            </w:r>
            <w:r w:rsidR="004708F7">
              <w:rPr>
                <w:rFonts w:cs="Calibri"/>
              </w:rPr>
              <w:t>, or</w:t>
            </w:r>
            <w:r w:rsidRPr="008B4418">
              <w:rPr>
                <w:rFonts w:cs="Calibri"/>
              </w:rPr>
              <w:t xml:space="preserve"> lasting impact on the subject, and the procedures will not be embarrassing or offensive.</w:t>
            </w:r>
          </w:p>
          <w:p w14:paraId="54B43952" w14:textId="2EEE721A" w:rsidR="008F1C61" w:rsidRPr="008B4418" w:rsidRDefault="008F1C61" w:rsidP="008B4418">
            <w:pPr>
              <w:pStyle w:val="ListParagraph"/>
              <w:keepNext/>
              <w:numPr>
                <w:ilvl w:val="0"/>
                <w:numId w:val="30"/>
              </w:numPr>
              <w:tabs>
                <w:tab w:val="left" w:pos="-198"/>
              </w:tabs>
              <w:ind w:left="255" w:right="-115" w:hanging="255"/>
              <w:contextualSpacing/>
              <w:rPr>
                <w:b/>
                <w:sz w:val="24"/>
              </w:rPr>
            </w:pPr>
            <w:r w:rsidRPr="008B4418">
              <w:rPr>
                <w:rFonts w:cs="Calibri"/>
              </w:rPr>
              <w:t>Behavioral interventions are limited to communication</w:t>
            </w:r>
            <w:r w:rsidR="005311C1">
              <w:rPr>
                <w:rFonts w:cs="Calibri"/>
              </w:rPr>
              <w:t>,</w:t>
            </w:r>
            <w:r w:rsidRPr="008B4418">
              <w:rPr>
                <w:rFonts w:cs="Calibri"/>
              </w:rPr>
              <w:t xml:space="preserve"> or interpersonal contact</w:t>
            </w:r>
            <w:r w:rsidR="005311C1">
              <w:rPr>
                <w:rFonts w:cs="Calibri"/>
              </w:rPr>
              <w:t>,</w:t>
            </w:r>
            <w:r w:rsidRPr="008B4418">
              <w:rPr>
                <w:rFonts w:cs="Calibri"/>
              </w:rPr>
              <w:t xml:space="preserve"> or performance of cognitive, intellectual, educational, or behavioral tasks, or the </w:t>
            </w:r>
            <w:r w:rsidRPr="008B4418">
              <w:rPr>
                <w:rFonts w:cs="Calibri"/>
              </w:rPr>
              <w:lastRenderedPageBreak/>
              <w:t>manipulation of the subject’s physical, sensory, social</w:t>
            </w:r>
            <w:r w:rsidR="00461E20">
              <w:rPr>
                <w:rFonts w:cs="Calibri"/>
              </w:rPr>
              <w:t>,</w:t>
            </w:r>
            <w:r w:rsidRPr="008B4418">
              <w:rPr>
                <w:rFonts w:cs="Calibri"/>
              </w:rPr>
              <w:t xml:space="preserve"> or emotional environment.</w:t>
            </w:r>
          </w:p>
          <w:p w14:paraId="2107EAFD" w14:textId="77777777" w:rsidR="008F1C61" w:rsidRPr="008B4418" w:rsidRDefault="008F1C61" w:rsidP="008B4418">
            <w:pPr>
              <w:pStyle w:val="ListParagraph"/>
              <w:keepNext/>
              <w:numPr>
                <w:ilvl w:val="0"/>
                <w:numId w:val="30"/>
              </w:numPr>
              <w:tabs>
                <w:tab w:val="left" w:pos="-198"/>
              </w:tabs>
              <w:ind w:left="255" w:right="-115" w:hanging="255"/>
              <w:contextualSpacing/>
              <w:rPr>
                <w:b/>
                <w:sz w:val="24"/>
              </w:rPr>
            </w:pPr>
            <w:r w:rsidRPr="008B4418">
              <w:rPr>
                <w:rFonts w:cs="Calibri"/>
              </w:rPr>
              <w:t xml:space="preserve">Deception is permitted if participants are prospectively </w:t>
            </w:r>
            <w:proofErr w:type="gramStart"/>
            <w:r w:rsidRPr="008B4418">
              <w:rPr>
                <w:rFonts w:cs="Calibri"/>
              </w:rPr>
              <w:t>informed</w:t>
            </w:r>
            <w:proofErr w:type="gramEnd"/>
            <w:r w:rsidRPr="008B4418">
              <w:rPr>
                <w:rFonts w:cs="Calibri"/>
              </w:rPr>
              <w:t xml:space="preserve"> they will be deceived. Debriefing is required. </w:t>
            </w:r>
          </w:p>
        </w:tc>
      </w:tr>
      <w:tr w:rsidR="008F1C61" w14:paraId="681AE5CF" w14:textId="77777777">
        <w:tc>
          <w:tcPr>
            <w:tcW w:w="6120" w:type="dxa"/>
            <w:shd w:val="clear" w:color="auto" w:fill="auto"/>
            <w:vAlign w:val="center"/>
          </w:tcPr>
          <w:p w14:paraId="5E6ED77F" w14:textId="2FEFB6EB" w:rsidR="008F1C61" w:rsidRPr="008B4418" w:rsidRDefault="008F1C61" w:rsidP="5E1FC3AA">
            <w:pPr>
              <w:rPr>
                <w:rFonts w:cs="Calibri"/>
                <w:b/>
                <w:bCs/>
              </w:rPr>
            </w:pPr>
            <w:r w:rsidRPr="5E1FC3AA">
              <w:rPr>
                <w:rFonts w:cs="Calibri"/>
                <w:b/>
                <w:bCs/>
              </w:rPr>
              <w:lastRenderedPageBreak/>
              <w:t xml:space="preserve">(Category 4) Use of secondary specimens/data </w:t>
            </w:r>
          </w:p>
          <w:p w14:paraId="5D4E006C" w14:textId="77777777" w:rsidR="008F1C61" w:rsidRPr="008B4418" w:rsidRDefault="008F1C61" w:rsidP="00AE10B2">
            <w:pPr>
              <w:pStyle w:val="Default"/>
              <w:numPr>
                <w:ilvl w:val="0"/>
                <w:numId w:val="37"/>
              </w:numPr>
              <w:ind w:left="720" w:hanging="360"/>
              <w:rPr>
                <w:rFonts w:ascii="Calibri" w:hAnsi="Calibri" w:cs="Calibri"/>
                <w:b/>
                <w:sz w:val="22"/>
                <w:szCs w:val="18"/>
              </w:rPr>
            </w:pPr>
            <w:r w:rsidRPr="008B4418">
              <w:rPr>
                <w:rFonts w:ascii="Calibri" w:hAnsi="Calibri" w:cs="Calibri"/>
                <w:b/>
                <w:sz w:val="22"/>
                <w:szCs w:val="18"/>
              </w:rPr>
              <w:t xml:space="preserve">All data/specimens exist at time of IRB submission, AND </w:t>
            </w:r>
          </w:p>
          <w:p w14:paraId="14730E8C" w14:textId="76448350" w:rsidR="008F1C61" w:rsidRPr="008B4418" w:rsidRDefault="00797A20" w:rsidP="00AE10B2">
            <w:pPr>
              <w:pStyle w:val="Default"/>
              <w:numPr>
                <w:ilvl w:val="0"/>
                <w:numId w:val="37"/>
              </w:numPr>
              <w:ind w:left="720" w:hanging="360"/>
              <w:rPr>
                <w:b/>
                <w:color w:val="auto"/>
              </w:rPr>
            </w:pPr>
            <w:r>
              <w:rPr>
                <w:rFonts w:ascii="Calibri" w:hAnsi="Calibri" w:cs="Calibri"/>
                <w:b/>
                <w:sz w:val="22"/>
                <w:szCs w:val="18"/>
              </w:rPr>
              <w:t>Are r</w:t>
            </w:r>
            <w:r w:rsidR="008F1C61" w:rsidRPr="008B4418">
              <w:rPr>
                <w:rFonts w:ascii="Calibri" w:hAnsi="Calibri" w:cs="Calibri"/>
                <w:b/>
                <w:sz w:val="22"/>
                <w:szCs w:val="18"/>
              </w:rPr>
              <w:t xml:space="preserve">ecorded with NO identifiers (including no link/code/key), OR </w:t>
            </w:r>
            <w:r w:rsidR="00531F0B">
              <w:rPr>
                <w:rFonts w:ascii="Calibri" w:hAnsi="Calibri" w:cs="Calibri"/>
                <w:b/>
                <w:sz w:val="22"/>
                <w:szCs w:val="18"/>
              </w:rPr>
              <w:t>are</w:t>
            </w:r>
            <w:r w:rsidR="008F1C61" w:rsidRPr="008B4418">
              <w:rPr>
                <w:rFonts w:ascii="Calibri" w:hAnsi="Calibri" w:cs="Calibri"/>
                <w:b/>
                <w:sz w:val="22"/>
                <w:szCs w:val="18"/>
              </w:rPr>
              <w:t xml:space="preserve"> publicly available</w:t>
            </w:r>
          </w:p>
        </w:tc>
        <w:tc>
          <w:tcPr>
            <w:tcW w:w="8280" w:type="dxa"/>
            <w:shd w:val="clear" w:color="auto" w:fill="B4C6E7"/>
            <w:vAlign w:val="center"/>
          </w:tcPr>
          <w:p w14:paraId="1D01C623" w14:textId="77777777" w:rsidR="008F1C61" w:rsidRPr="008B4418" w:rsidRDefault="008F1C61" w:rsidP="008B4418">
            <w:pPr>
              <w:jc w:val="center"/>
              <w:rPr>
                <w:b/>
                <w:sz w:val="24"/>
              </w:rPr>
            </w:pPr>
          </w:p>
        </w:tc>
      </w:tr>
      <w:tr w:rsidR="008F1C61" w14:paraId="72A2C625" w14:textId="77777777">
        <w:tc>
          <w:tcPr>
            <w:tcW w:w="14400" w:type="dxa"/>
            <w:gridSpan w:val="2"/>
            <w:shd w:val="clear" w:color="auto" w:fill="1F3864"/>
          </w:tcPr>
          <w:p w14:paraId="6AEF1FC5" w14:textId="77777777" w:rsidR="008F1C61" w:rsidRPr="008B4418" w:rsidRDefault="008F1C61" w:rsidP="008B4418">
            <w:pPr>
              <w:jc w:val="center"/>
              <w:rPr>
                <w:b/>
                <w:color w:val="FFFFFF"/>
              </w:rPr>
            </w:pPr>
            <w:r w:rsidRPr="008B4418">
              <w:rPr>
                <w:b/>
                <w:color w:val="FFFFFF"/>
              </w:rPr>
              <w:t>Levels of Review – Expedited/Level II</w:t>
            </w:r>
          </w:p>
        </w:tc>
      </w:tr>
      <w:tr w:rsidR="008F1C61" w14:paraId="0327F83A" w14:textId="77777777">
        <w:tc>
          <w:tcPr>
            <w:tcW w:w="6120" w:type="dxa"/>
            <w:shd w:val="clear" w:color="auto" w:fill="auto"/>
            <w:vAlign w:val="center"/>
          </w:tcPr>
          <w:p w14:paraId="699863C3" w14:textId="77777777" w:rsidR="008F1C61" w:rsidRPr="009C4946" w:rsidRDefault="008F1C61" w:rsidP="008B4418">
            <w:pPr>
              <w:jc w:val="center"/>
              <w:rPr>
                <w:b/>
                <w:bCs/>
              </w:rPr>
            </w:pPr>
            <w:r w:rsidRPr="009C4946">
              <w:rPr>
                <w:b/>
                <w:bCs/>
                <w:sz w:val="24"/>
              </w:rPr>
              <w:t>Expedited/Level II Category</w:t>
            </w:r>
          </w:p>
        </w:tc>
        <w:tc>
          <w:tcPr>
            <w:tcW w:w="8280" w:type="dxa"/>
            <w:shd w:val="clear" w:color="auto" w:fill="B4C6E7"/>
          </w:tcPr>
          <w:p w14:paraId="16382674" w14:textId="77777777" w:rsidR="008F1C61" w:rsidRPr="009C4946" w:rsidRDefault="008F1C61" w:rsidP="008B4418">
            <w:pPr>
              <w:pStyle w:val="ListParagraph"/>
              <w:ind w:left="346"/>
              <w:jc w:val="center"/>
              <w:rPr>
                <w:b/>
                <w:bCs/>
              </w:rPr>
            </w:pPr>
            <w:r w:rsidRPr="009C4946">
              <w:rPr>
                <w:b/>
                <w:bCs/>
                <w:sz w:val="24"/>
              </w:rPr>
              <w:t>Notes</w:t>
            </w:r>
          </w:p>
        </w:tc>
      </w:tr>
      <w:tr w:rsidR="008F1C61" w14:paraId="1DFC5C74" w14:textId="77777777">
        <w:tc>
          <w:tcPr>
            <w:tcW w:w="6120" w:type="dxa"/>
            <w:shd w:val="clear" w:color="auto" w:fill="auto"/>
            <w:vAlign w:val="center"/>
          </w:tcPr>
          <w:p w14:paraId="2F6A7282" w14:textId="68220523" w:rsidR="008F1C61" w:rsidRPr="008B4418" w:rsidRDefault="008F1C61" w:rsidP="5E1FC3AA">
            <w:pPr>
              <w:rPr>
                <w:b/>
                <w:bCs/>
              </w:rPr>
            </w:pPr>
            <w:r>
              <w:t>(C</w:t>
            </w:r>
            <w:r w:rsidRPr="5E1FC3AA">
              <w:rPr>
                <w:b/>
                <w:bCs/>
              </w:rPr>
              <w:t>ategory 1</w:t>
            </w:r>
            <w:r>
              <w:t xml:space="preserve">) </w:t>
            </w:r>
            <w:r w:rsidRPr="5E1FC3AA">
              <w:rPr>
                <w:b/>
                <w:bCs/>
              </w:rPr>
              <w:t>Clinical studies</w:t>
            </w:r>
          </w:p>
        </w:tc>
        <w:tc>
          <w:tcPr>
            <w:tcW w:w="8280" w:type="dxa"/>
            <w:shd w:val="clear" w:color="auto" w:fill="B4C6E7"/>
          </w:tcPr>
          <w:p w14:paraId="21B7A9DE" w14:textId="77777777" w:rsidR="008F1C61" w:rsidRDefault="008F1C61" w:rsidP="008B4418">
            <w:pPr>
              <w:pStyle w:val="ListParagraph"/>
              <w:numPr>
                <w:ilvl w:val="0"/>
                <w:numId w:val="29"/>
              </w:numPr>
              <w:ind w:left="252" w:hanging="252"/>
              <w:contextualSpacing/>
            </w:pPr>
            <w:r>
              <w:t>Only those that do not need to be submitted to the FDA</w:t>
            </w:r>
          </w:p>
        </w:tc>
      </w:tr>
      <w:tr w:rsidR="008F1C61" w14:paraId="401FECED" w14:textId="77777777">
        <w:tc>
          <w:tcPr>
            <w:tcW w:w="6120" w:type="dxa"/>
            <w:shd w:val="clear" w:color="auto" w:fill="auto"/>
            <w:vAlign w:val="center"/>
          </w:tcPr>
          <w:p w14:paraId="75738775" w14:textId="7FFB8D81" w:rsidR="008F1C61" w:rsidRPr="008B4418" w:rsidRDefault="008F1C61" w:rsidP="5E1FC3AA">
            <w:pPr>
              <w:rPr>
                <w:b/>
                <w:bCs/>
              </w:rPr>
            </w:pPr>
            <w:r w:rsidRPr="5E1FC3AA">
              <w:rPr>
                <w:b/>
                <w:bCs/>
              </w:rPr>
              <w:t xml:space="preserve">(Category 2) Research involving blood collection </w:t>
            </w:r>
          </w:p>
        </w:tc>
        <w:tc>
          <w:tcPr>
            <w:tcW w:w="8280" w:type="dxa"/>
            <w:shd w:val="clear" w:color="auto" w:fill="B4C6E7"/>
          </w:tcPr>
          <w:p w14:paraId="6C2091FB" w14:textId="4AAA8F54" w:rsidR="008F1C61" w:rsidRDefault="008F1C61" w:rsidP="008B4418">
            <w:r>
              <w:t>Limits/methods are as follows</w:t>
            </w:r>
            <w:r w:rsidR="00E72A12">
              <w:t>--</w:t>
            </w:r>
            <w:r>
              <w:t>otherwise level III review is required:</w:t>
            </w:r>
          </w:p>
          <w:p w14:paraId="388D3B67" w14:textId="77777777" w:rsidR="008F1C61" w:rsidRPr="008B4418" w:rsidRDefault="008F1C61" w:rsidP="008B4418">
            <w:pPr>
              <w:pStyle w:val="Default"/>
              <w:numPr>
                <w:ilvl w:val="0"/>
                <w:numId w:val="28"/>
              </w:numPr>
              <w:ind w:left="252" w:hanging="252"/>
              <w:rPr>
                <w:rFonts w:ascii="Calibri" w:hAnsi="Calibri" w:cs="Calibri"/>
                <w:sz w:val="22"/>
                <w:szCs w:val="18"/>
              </w:rPr>
            </w:pPr>
            <w:r w:rsidRPr="008B4418">
              <w:rPr>
                <w:rFonts w:ascii="Calibri" w:hAnsi="Calibri" w:cs="Calibri"/>
                <w:sz w:val="22"/>
                <w:szCs w:val="18"/>
              </w:rPr>
              <w:t xml:space="preserve">Finger stick, </w:t>
            </w:r>
            <w:proofErr w:type="spellStart"/>
            <w:r w:rsidRPr="008B4418">
              <w:rPr>
                <w:rFonts w:ascii="Calibri" w:hAnsi="Calibri" w:cs="Calibri"/>
                <w:sz w:val="22"/>
                <w:szCs w:val="18"/>
              </w:rPr>
              <w:t>heel</w:t>
            </w:r>
            <w:proofErr w:type="spellEnd"/>
            <w:r w:rsidRPr="008B4418">
              <w:rPr>
                <w:rFonts w:ascii="Calibri" w:hAnsi="Calibri" w:cs="Calibri"/>
                <w:sz w:val="22"/>
                <w:szCs w:val="18"/>
              </w:rPr>
              <w:t xml:space="preserve"> stick, ear stick, or venipuncture </w:t>
            </w:r>
          </w:p>
          <w:p w14:paraId="1D2CA394" w14:textId="3D6E923E" w:rsidR="008F1C61" w:rsidRPr="008B4418" w:rsidRDefault="008F1C61" w:rsidP="008B4418">
            <w:pPr>
              <w:pStyle w:val="Default"/>
              <w:numPr>
                <w:ilvl w:val="0"/>
                <w:numId w:val="28"/>
              </w:numPr>
              <w:ind w:left="252" w:hanging="252"/>
              <w:rPr>
                <w:rFonts w:ascii="Calibri" w:hAnsi="Calibri" w:cs="Calibri"/>
                <w:sz w:val="22"/>
                <w:szCs w:val="18"/>
              </w:rPr>
            </w:pPr>
            <w:r w:rsidRPr="008B4418">
              <w:rPr>
                <w:rFonts w:ascii="Calibri" w:hAnsi="Calibri" w:cs="Calibri"/>
                <w:sz w:val="22"/>
                <w:szCs w:val="18"/>
              </w:rPr>
              <w:t xml:space="preserve">Frequency = no more than 2x/week </w:t>
            </w:r>
          </w:p>
          <w:p w14:paraId="548C3157" w14:textId="589BB1FD" w:rsidR="008F1C61" w:rsidRPr="00FF620D" w:rsidRDefault="008F1C61" w:rsidP="008B4418">
            <w:pPr>
              <w:pStyle w:val="Default"/>
              <w:numPr>
                <w:ilvl w:val="0"/>
                <w:numId w:val="28"/>
              </w:numPr>
              <w:ind w:left="252" w:hanging="252"/>
            </w:pPr>
            <w:r w:rsidRPr="5E1FC3AA">
              <w:rPr>
                <w:rFonts w:ascii="Calibri" w:hAnsi="Calibri" w:cs="Calibri"/>
                <w:sz w:val="22"/>
                <w:szCs w:val="22"/>
              </w:rPr>
              <w:t>Healthy, non-pregnant adults, weigh</w:t>
            </w:r>
            <w:r w:rsidR="2A94FE91" w:rsidRPr="5E1FC3AA">
              <w:rPr>
                <w:rFonts w:ascii="Calibri" w:hAnsi="Calibri" w:cs="Calibri"/>
                <w:sz w:val="22"/>
                <w:szCs w:val="22"/>
              </w:rPr>
              <w:t>ing</w:t>
            </w:r>
            <w:r w:rsidRPr="5E1FC3AA">
              <w:rPr>
                <w:rFonts w:ascii="Calibri" w:hAnsi="Calibri" w:cs="Calibri"/>
                <w:sz w:val="22"/>
                <w:szCs w:val="22"/>
              </w:rPr>
              <w:t xml:space="preserve"> &gt;110 </w:t>
            </w:r>
            <w:proofErr w:type="spellStart"/>
            <w:r w:rsidRPr="5E1FC3AA">
              <w:rPr>
                <w:rFonts w:ascii="Calibri" w:hAnsi="Calibri" w:cs="Calibri"/>
                <w:sz w:val="22"/>
                <w:szCs w:val="22"/>
              </w:rPr>
              <w:t>lbs</w:t>
            </w:r>
            <w:proofErr w:type="spellEnd"/>
            <w:r w:rsidR="00E72A12" w:rsidRPr="5E1FC3AA">
              <w:rPr>
                <w:rFonts w:ascii="Calibri" w:hAnsi="Calibri" w:cs="Calibri"/>
                <w:sz w:val="22"/>
                <w:szCs w:val="22"/>
              </w:rPr>
              <w:t>--t</w:t>
            </w:r>
            <w:r w:rsidRPr="5E1FC3AA">
              <w:rPr>
                <w:rFonts w:ascii="Calibri" w:hAnsi="Calibri" w:cs="Calibri"/>
                <w:sz w:val="22"/>
                <w:szCs w:val="22"/>
              </w:rPr>
              <w:t>otal</w:t>
            </w:r>
            <w:r w:rsidR="5E6F228D" w:rsidRPr="5E1FC3AA">
              <w:rPr>
                <w:rFonts w:ascii="Calibri" w:hAnsi="Calibri" w:cs="Calibri"/>
                <w:sz w:val="22"/>
                <w:szCs w:val="22"/>
              </w:rPr>
              <w:t xml:space="preserve"> blood</w:t>
            </w:r>
            <w:r w:rsidRPr="5E1FC3AA">
              <w:rPr>
                <w:rFonts w:ascii="Calibri" w:hAnsi="Calibri" w:cs="Calibri"/>
                <w:sz w:val="22"/>
                <w:szCs w:val="22"/>
              </w:rPr>
              <w:t xml:space="preserve"> volume not exceeding 550 mL in 8 weeks </w:t>
            </w:r>
          </w:p>
          <w:p w14:paraId="214DC8E0" w14:textId="61543B8A" w:rsidR="008F1C61" w:rsidRDefault="008F1C61" w:rsidP="008B4418">
            <w:pPr>
              <w:pStyle w:val="Default"/>
              <w:numPr>
                <w:ilvl w:val="0"/>
                <w:numId w:val="28"/>
              </w:numPr>
              <w:ind w:left="252" w:hanging="252"/>
            </w:pPr>
            <w:r w:rsidRPr="5E1FC3AA">
              <w:rPr>
                <w:rFonts w:ascii="Calibri" w:hAnsi="Calibri" w:cs="Calibri"/>
                <w:sz w:val="22"/>
                <w:szCs w:val="22"/>
              </w:rPr>
              <w:t>Other adults or children</w:t>
            </w:r>
            <w:r w:rsidR="00E72A12" w:rsidRPr="5E1FC3AA">
              <w:rPr>
                <w:rFonts w:ascii="Calibri" w:hAnsi="Calibri" w:cs="Calibri"/>
                <w:sz w:val="22"/>
                <w:szCs w:val="22"/>
              </w:rPr>
              <w:t>--t</w:t>
            </w:r>
            <w:r w:rsidRPr="5E1FC3AA">
              <w:rPr>
                <w:rFonts w:ascii="Calibri" w:hAnsi="Calibri" w:cs="Calibri"/>
                <w:sz w:val="22"/>
                <w:szCs w:val="22"/>
              </w:rPr>
              <w:t xml:space="preserve">otal volume not exceeding the lesser of 50 mL </w:t>
            </w:r>
            <w:r w:rsidRPr="5E1FC3AA">
              <w:rPr>
                <w:rFonts w:ascii="Calibri" w:hAnsi="Calibri" w:cs="Calibri"/>
                <w:b/>
                <w:bCs/>
                <w:sz w:val="22"/>
                <w:szCs w:val="22"/>
              </w:rPr>
              <w:t>OR</w:t>
            </w:r>
            <w:r w:rsidRPr="5E1FC3AA">
              <w:rPr>
                <w:rFonts w:ascii="Calibri" w:hAnsi="Calibri" w:cs="Calibri"/>
                <w:sz w:val="22"/>
                <w:szCs w:val="22"/>
              </w:rPr>
              <w:t xml:space="preserve"> 3 mL</w:t>
            </w:r>
            <w:r w:rsidR="00E72A12" w:rsidRPr="5E1FC3AA">
              <w:rPr>
                <w:rFonts w:ascii="Calibri" w:hAnsi="Calibri" w:cs="Calibri"/>
                <w:sz w:val="22"/>
                <w:szCs w:val="22"/>
              </w:rPr>
              <w:t>/</w:t>
            </w:r>
            <w:r w:rsidRPr="5E1FC3AA">
              <w:rPr>
                <w:rFonts w:ascii="Calibri" w:hAnsi="Calibri" w:cs="Calibri"/>
                <w:sz w:val="22"/>
                <w:szCs w:val="22"/>
              </w:rPr>
              <w:t>kg in 8 weeks</w:t>
            </w:r>
          </w:p>
        </w:tc>
      </w:tr>
      <w:tr w:rsidR="008F1C61" w14:paraId="18B58E37" w14:textId="77777777">
        <w:tc>
          <w:tcPr>
            <w:tcW w:w="6120" w:type="dxa"/>
            <w:shd w:val="clear" w:color="auto" w:fill="auto"/>
            <w:vAlign w:val="center"/>
          </w:tcPr>
          <w:p w14:paraId="23D118BD" w14:textId="39ED7C71" w:rsidR="008F1C61" w:rsidRPr="008B4418" w:rsidRDefault="008F1C61" w:rsidP="5E1FC3AA">
            <w:pPr>
              <w:rPr>
                <w:b/>
                <w:bCs/>
              </w:rPr>
            </w:pPr>
            <w:r w:rsidRPr="5E1FC3AA">
              <w:rPr>
                <w:b/>
                <w:bCs/>
              </w:rPr>
              <w:t xml:space="preserve">(Category 3) Prospective collection of biological specimens for research purposes by non-invasive procedures </w:t>
            </w:r>
          </w:p>
        </w:tc>
        <w:tc>
          <w:tcPr>
            <w:tcW w:w="8280" w:type="dxa"/>
            <w:shd w:val="clear" w:color="auto" w:fill="B4C6E7"/>
          </w:tcPr>
          <w:p w14:paraId="27AEDFEE" w14:textId="36F39AE1" w:rsidR="008F1C61" w:rsidRDefault="008F1C61" w:rsidP="008B4418">
            <w:r>
              <w:t>Examples include:</w:t>
            </w:r>
          </w:p>
          <w:p w14:paraId="7AD17C0F" w14:textId="77777777" w:rsidR="008F1C61" w:rsidRDefault="008F1C61" w:rsidP="008B4418">
            <w:pPr>
              <w:pStyle w:val="ListParagraph"/>
              <w:numPr>
                <w:ilvl w:val="0"/>
                <w:numId w:val="40"/>
              </w:numPr>
              <w:contextualSpacing/>
            </w:pPr>
            <w:r>
              <w:t>Hair or nail clippings in a non-disfiguring manner</w:t>
            </w:r>
          </w:p>
          <w:p w14:paraId="51913A0B" w14:textId="77777777" w:rsidR="008F1C61" w:rsidRDefault="008F1C61" w:rsidP="008B4418">
            <w:pPr>
              <w:pStyle w:val="ListParagraph"/>
              <w:numPr>
                <w:ilvl w:val="0"/>
                <w:numId w:val="40"/>
              </w:numPr>
              <w:contextualSpacing/>
            </w:pPr>
            <w:r>
              <w:t>Collection of teeth as exfoliated or if obtained during routine patient care where there is a need for extraction</w:t>
            </w:r>
          </w:p>
          <w:p w14:paraId="4B6C95BB" w14:textId="77777777" w:rsidR="008F1C61" w:rsidRDefault="008F1C61" w:rsidP="008B4418">
            <w:pPr>
              <w:pStyle w:val="ListParagraph"/>
              <w:numPr>
                <w:ilvl w:val="0"/>
                <w:numId w:val="40"/>
              </w:numPr>
              <w:contextualSpacing/>
            </w:pPr>
            <w:r>
              <w:t>Excreta or external secretions</w:t>
            </w:r>
          </w:p>
          <w:p w14:paraId="1FB909B1" w14:textId="77777777" w:rsidR="008F1C61" w:rsidRDefault="008F1C61" w:rsidP="008B4418">
            <w:pPr>
              <w:pStyle w:val="ListParagraph"/>
              <w:numPr>
                <w:ilvl w:val="0"/>
                <w:numId w:val="40"/>
              </w:numPr>
              <w:contextualSpacing/>
            </w:pPr>
            <w:r>
              <w:t xml:space="preserve">Saliva collection </w:t>
            </w:r>
          </w:p>
        </w:tc>
      </w:tr>
      <w:tr w:rsidR="008F1C61" w14:paraId="12A8C35F" w14:textId="77777777">
        <w:tc>
          <w:tcPr>
            <w:tcW w:w="6120" w:type="dxa"/>
            <w:shd w:val="clear" w:color="auto" w:fill="auto"/>
            <w:vAlign w:val="center"/>
          </w:tcPr>
          <w:p w14:paraId="081D8F54" w14:textId="33F58444" w:rsidR="008F1C61" w:rsidRPr="008B4418" w:rsidRDefault="008F1C61" w:rsidP="5E1FC3AA">
            <w:pPr>
              <w:rPr>
                <w:b/>
                <w:bCs/>
              </w:rPr>
            </w:pPr>
            <w:r w:rsidRPr="5E1FC3AA">
              <w:rPr>
                <w:b/>
                <w:bCs/>
              </w:rPr>
              <w:t xml:space="preserve">(Category 4) Non-invasive clinical procedures </w:t>
            </w:r>
          </w:p>
        </w:tc>
        <w:tc>
          <w:tcPr>
            <w:tcW w:w="8280" w:type="dxa"/>
            <w:shd w:val="clear" w:color="auto" w:fill="B4C6E7"/>
          </w:tcPr>
          <w:p w14:paraId="71103798" w14:textId="77777777" w:rsidR="008F1C61" w:rsidRPr="008B4418" w:rsidRDefault="008F1C61" w:rsidP="008B4418">
            <w:pPr>
              <w:pStyle w:val="Default"/>
              <w:numPr>
                <w:ilvl w:val="0"/>
                <w:numId w:val="32"/>
              </w:numPr>
              <w:ind w:left="252" w:hanging="252"/>
              <w:rPr>
                <w:rFonts w:ascii="Calibri" w:hAnsi="Calibri" w:cs="Calibri"/>
                <w:sz w:val="22"/>
                <w:szCs w:val="18"/>
              </w:rPr>
            </w:pPr>
            <w:r w:rsidRPr="008B4418">
              <w:rPr>
                <w:rFonts w:ascii="Calibri" w:hAnsi="Calibri" w:cs="Calibri"/>
                <w:sz w:val="22"/>
                <w:szCs w:val="18"/>
              </w:rPr>
              <w:t xml:space="preserve">Procedures routinely employed in clinical practice </w:t>
            </w:r>
          </w:p>
          <w:p w14:paraId="1631B742" w14:textId="77777777" w:rsidR="008F1C61" w:rsidRPr="008B4418" w:rsidRDefault="008F1C61" w:rsidP="008B4418">
            <w:pPr>
              <w:pStyle w:val="Default"/>
              <w:numPr>
                <w:ilvl w:val="0"/>
                <w:numId w:val="32"/>
              </w:numPr>
              <w:ind w:left="252" w:hanging="252"/>
              <w:rPr>
                <w:rFonts w:ascii="Calibri" w:hAnsi="Calibri" w:cs="Calibri"/>
                <w:sz w:val="22"/>
                <w:szCs w:val="18"/>
              </w:rPr>
            </w:pPr>
            <w:r w:rsidRPr="008B4418">
              <w:rPr>
                <w:rFonts w:ascii="Calibri" w:hAnsi="Calibri" w:cs="Calibri"/>
                <w:sz w:val="22"/>
                <w:szCs w:val="18"/>
              </w:rPr>
              <w:t xml:space="preserve">Not involving general anesthesia or sedation </w:t>
            </w:r>
          </w:p>
          <w:p w14:paraId="0C502E54" w14:textId="77777777" w:rsidR="008F1C61" w:rsidRPr="008B4418" w:rsidRDefault="008F1C61" w:rsidP="008B4418">
            <w:pPr>
              <w:pStyle w:val="Default"/>
              <w:numPr>
                <w:ilvl w:val="0"/>
                <w:numId w:val="32"/>
              </w:numPr>
              <w:ind w:left="252" w:hanging="252"/>
              <w:rPr>
                <w:rFonts w:ascii="Calibri" w:hAnsi="Calibri" w:cs="Calibri"/>
                <w:sz w:val="22"/>
                <w:szCs w:val="18"/>
              </w:rPr>
            </w:pPr>
            <w:r w:rsidRPr="008B4418">
              <w:rPr>
                <w:rFonts w:ascii="Calibri" w:hAnsi="Calibri" w:cs="Calibri"/>
                <w:sz w:val="22"/>
                <w:szCs w:val="18"/>
              </w:rPr>
              <w:t xml:space="preserve">Not involving procedures that use x-rays or microwaves </w:t>
            </w:r>
          </w:p>
          <w:p w14:paraId="7B0E0DB3" w14:textId="77777777" w:rsidR="008F1C61" w:rsidRPr="009129F3" w:rsidRDefault="008F1C61" w:rsidP="008B4418">
            <w:pPr>
              <w:pStyle w:val="Default"/>
              <w:numPr>
                <w:ilvl w:val="0"/>
                <w:numId w:val="32"/>
              </w:numPr>
              <w:ind w:left="252" w:hanging="252"/>
            </w:pPr>
            <w:r w:rsidRPr="008B4418">
              <w:rPr>
                <w:rFonts w:ascii="Calibri" w:hAnsi="Calibri" w:cs="Calibri"/>
                <w:sz w:val="22"/>
                <w:szCs w:val="18"/>
              </w:rPr>
              <w:t xml:space="preserve">Medical devices must be cleared/approved for marketing </w:t>
            </w:r>
          </w:p>
          <w:p w14:paraId="65308D47" w14:textId="77777777" w:rsidR="008F1C61" w:rsidRDefault="008F1C61" w:rsidP="008B4418">
            <w:pPr>
              <w:pStyle w:val="Default"/>
              <w:numPr>
                <w:ilvl w:val="0"/>
                <w:numId w:val="32"/>
              </w:numPr>
              <w:ind w:left="252" w:hanging="252"/>
            </w:pPr>
            <w:r w:rsidRPr="008B4418">
              <w:rPr>
                <w:rFonts w:ascii="Calibri" w:hAnsi="Calibri" w:cs="Calibri"/>
                <w:sz w:val="22"/>
                <w:szCs w:val="18"/>
              </w:rPr>
              <w:t>No more than moderate exercise</w:t>
            </w:r>
          </w:p>
        </w:tc>
      </w:tr>
      <w:tr w:rsidR="008F1C61" w14:paraId="4FF6D8F7" w14:textId="77777777">
        <w:tc>
          <w:tcPr>
            <w:tcW w:w="6120" w:type="dxa"/>
            <w:shd w:val="clear" w:color="auto" w:fill="auto"/>
            <w:vAlign w:val="center"/>
          </w:tcPr>
          <w:p w14:paraId="6F5BE089" w14:textId="536A574B" w:rsidR="008F1C61" w:rsidRPr="008B4418" w:rsidRDefault="008F1C61" w:rsidP="5E1FC3AA">
            <w:pPr>
              <w:rPr>
                <w:b/>
                <w:bCs/>
              </w:rPr>
            </w:pPr>
            <w:r w:rsidRPr="5E1FC3AA">
              <w:rPr>
                <w:b/>
                <w:bCs/>
              </w:rPr>
              <w:t xml:space="preserve">(Category 5) Materials (including specimens) collected for research or non-research purposes </w:t>
            </w:r>
          </w:p>
        </w:tc>
        <w:tc>
          <w:tcPr>
            <w:tcW w:w="8280" w:type="dxa"/>
            <w:shd w:val="clear" w:color="auto" w:fill="B4C6E7"/>
          </w:tcPr>
          <w:p w14:paraId="32C1DD7C" w14:textId="51002E6E" w:rsidR="008F1C61" w:rsidRDefault="008F1C61" w:rsidP="008B4418">
            <w:pPr>
              <w:pStyle w:val="ListParagraph"/>
              <w:numPr>
                <w:ilvl w:val="0"/>
                <w:numId w:val="38"/>
              </w:numPr>
              <w:ind w:left="252" w:hanging="252"/>
              <w:contextualSpacing/>
            </w:pPr>
            <w:r>
              <w:t>Materials may or may not currently exist</w:t>
            </w:r>
          </w:p>
          <w:p w14:paraId="525A9F4F" w14:textId="2B568960" w:rsidR="008F1C61" w:rsidRDefault="008F1C61" w:rsidP="008B4418">
            <w:pPr>
              <w:pStyle w:val="ListParagraph"/>
              <w:numPr>
                <w:ilvl w:val="0"/>
                <w:numId w:val="38"/>
              </w:numPr>
              <w:ind w:left="252" w:hanging="252"/>
              <w:contextualSpacing/>
            </w:pPr>
            <w:r>
              <w:t>May record or keep identifiers, but plans must be in place to protect confidentiality</w:t>
            </w:r>
          </w:p>
          <w:p w14:paraId="799E7B8D" w14:textId="61E1B8C7" w:rsidR="008F1C61" w:rsidRDefault="008F1C61" w:rsidP="008B4418">
            <w:pPr>
              <w:pStyle w:val="ListParagraph"/>
              <w:numPr>
                <w:ilvl w:val="0"/>
                <w:numId w:val="38"/>
              </w:numPr>
              <w:ind w:left="252" w:hanging="252"/>
              <w:contextualSpacing/>
            </w:pPr>
            <w:r>
              <w:t>Includes a variety of materials such as medical records</w:t>
            </w:r>
            <w:r w:rsidR="17E56D87">
              <w:t>,</w:t>
            </w:r>
            <w:r>
              <w:t xml:space="preserve"> pathology specimen</w:t>
            </w:r>
            <w:r w:rsidR="17E56D87">
              <w:t>s,</w:t>
            </w:r>
            <w:r>
              <w:t xml:space="preserve"> or some </w:t>
            </w:r>
            <w:r>
              <w:lastRenderedPageBreak/>
              <w:t>student records</w:t>
            </w:r>
          </w:p>
        </w:tc>
      </w:tr>
      <w:tr w:rsidR="008F1C61" w14:paraId="29BC8AF5" w14:textId="77777777">
        <w:tc>
          <w:tcPr>
            <w:tcW w:w="6120" w:type="dxa"/>
            <w:shd w:val="clear" w:color="auto" w:fill="auto"/>
            <w:vAlign w:val="center"/>
          </w:tcPr>
          <w:p w14:paraId="4BEE689A" w14:textId="4E7EF089" w:rsidR="008F1C61" w:rsidRPr="008B4418" w:rsidRDefault="008F1C61" w:rsidP="5E1FC3AA">
            <w:pPr>
              <w:rPr>
                <w:b/>
                <w:bCs/>
              </w:rPr>
            </w:pPr>
            <w:r w:rsidRPr="5E1FC3AA">
              <w:rPr>
                <w:b/>
                <w:bCs/>
              </w:rPr>
              <w:lastRenderedPageBreak/>
              <w:t xml:space="preserve">(Category 6) Use of audio, video, and photography for research purposes </w:t>
            </w:r>
          </w:p>
        </w:tc>
        <w:tc>
          <w:tcPr>
            <w:tcW w:w="8280" w:type="dxa"/>
            <w:shd w:val="clear" w:color="auto" w:fill="B4C6E7"/>
            <w:vAlign w:val="center"/>
          </w:tcPr>
          <w:p w14:paraId="142FB2DD" w14:textId="07A6BDD3" w:rsidR="008F1C61" w:rsidRDefault="008F1C61" w:rsidP="008B4418">
            <w:pPr>
              <w:pStyle w:val="ListParagraph"/>
              <w:numPr>
                <w:ilvl w:val="0"/>
                <w:numId w:val="39"/>
              </w:numPr>
              <w:ind w:left="252" w:hanging="270"/>
              <w:contextualSpacing/>
            </w:pPr>
            <w:r>
              <w:t>Use of audio, video, or photography for research purposes that are not otherwise exempt</w:t>
            </w:r>
          </w:p>
          <w:p w14:paraId="04ED96BD" w14:textId="6C1DB111" w:rsidR="008F1C61" w:rsidRDefault="008F1C61" w:rsidP="008B4418">
            <w:pPr>
              <w:pStyle w:val="ListParagraph"/>
              <w:numPr>
                <w:ilvl w:val="0"/>
                <w:numId w:val="39"/>
              </w:numPr>
              <w:ind w:left="252" w:hanging="270"/>
              <w:contextualSpacing/>
            </w:pPr>
            <w:r>
              <w:t>Audio, video, and image recordings are considered personally identifiable</w:t>
            </w:r>
          </w:p>
        </w:tc>
      </w:tr>
      <w:tr w:rsidR="008F1C61" w14:paraId="4E404947" w14:textId="77777777">
        <w:tc>
          <w:tcPr>
            <w:tcW w:w="6120" w:type="dxa"/>
            <w:shd w:val="clear" w:color="auto" w:fill="auto"/>
            <w:vAlign w:val="center"/>
          </w:tcPr>
          <w:p w14:paraId="412B989E" w14:textId="79D6BF06" w:rsidR="008F1C61" w:rsidRPr="008B4418" w:rsidRDefault="008F1C61" w:rsidP="5E1FC3AA">
            <w:pPr>
              <w:rPr>
                <w:b/>
                <w:bCs/>
              </w:rPr>
            </w:pPr>
            <w:r w:rsidRPr="5E1FC3AA">
              <w:rPr>
                <w:b/>
                <w:bCs/>
              </w:rPr>
              <w:t xml:space="preserve">(Category 7) Individual or group characteristics or behavior </w:t>
            </w:r>
          </w:p>
          <w:p w14:paraId="408AC768" w14:textId="77777777" w:rsidR="008F1C61" w:rsidRDefault="008F1C61" w:rsidP="008B4418"/>
        </w:tc>
        <w:tc>
          <w:tcPr>
            <w:tcW w:w="8280" w:type="dxa"/>
            <w:shd w:val="clear" w:color="auto" w:fill="B4C6E7"/>
          </w:tcPr>
          <w:p w14:paraId="2710AABD" w14:textId="48863641" w:rsidR="008F1C61" w:rsidRDefault="008F1C61" w:rsidP="008B4418">
            <w:pPr>
              <w:pStyle w:val="ListParagraph"/>
              <w:numPr>
                <w:ilvl w:val="0"/>
                <w:numId w:val="30"/>
              </w:numPr>
              <w:ind w:left="256" w:hanging="256"/>
              <w:contextualSpacing/>
            </w:pPr>
            <w:r>
              <w:t>Research involving surveys, interviews (or focus groups), educational tests</w:t>
            </w:r>
            <w:r w:rsidR="5DDDADDA">
              <w:t>,</w:t>
            </w:r>
            <w:r>
              <w:t xml:space="preserve"> or observation of public behavior that cannot be approved as exempt under category 2 </w:t>
            </w:r>
          </w:p>
          <w:p w14:paraId="4572D2DA" w14:textId="77777777" w:rsidR="008F1C61" w:rsidRDefault="008F1C61" w:rsidP="008B4418">
            <w:pPr>
              <w:pStyle w:val="ListParagraph"/>
              <w:numPr>
                <w:ilvl w:val="0"/>
                <w:numId w:val="30"/>
              </w:numPr>
              <w:ind w:left="256" w:hanging="256"/>
              <w:contextualSpacing/>
            </w:pPr>
            <w:r>
              <w:t>Human factors</w:t>
            </w:r>
          </w:p>
          <w:p w14:paraId="610FC5E4" w14:textId="6A8FDA1F" w:rsidR="008F1C61" w:rsidRPr="008B4418" w:rsidRDefault="008F1C61" w:rsidP="5E1FC3AA">
            <w:pPr>
              <w:pStyle w:val="ListParagraph"/>
              <w:numPr>
                <w:ilvl w:val="0"/>
                <w:numId w:val="30"/>
              </w:numPr>
              <w:ind w:left="256" w:hanging="256"/>
              <w:contextualSpacing/>
              <w:rPr>
                <w:b/>
                <w:bCs/>
              </w:rPr>
            </w:pPr>
            <w:r>
              <w:t>Research on perception, cognition, motivation, identity, and other social and behavioral paradigms that are not otherwise exempt under category 3</w:t>
            </w:r>
          </w:p>
          <w:p w14:paraId="3527ADB8" w14:textId="42625A47" w:rsidR="008F1C61" w:rsidRPr="008B4418" w:rsidRDefault="008F1C61" w:rsidP="5E1FC3AA">
            <w:pPr>
              <w:pStyle w:val="ListParagraph"/>
              <w:numPr>
                <w:ilvl w:val="0"/>
                <w:numId w:val="30"/>
              </w:numPr>
              <w:ind w:left="256" w:hanging="256"/>
              <w:contextualSpacing/>
              <w:rPr>
                <w:b/>
                <w:bCs/>
              </w:rPr>
            </w:pPr>
            <w:r>
              <w:t xml:space="preserve">Any research involving educational practices that do not meet all </w:t>
            </w:r>
            <w:r w:rsidR="00E72A12">
              <w:t xml:space="preserve">three </w:t>
            </w:r>
            <w:r>
              <w:t>of the conditions listed in exemption category 1</w:t>
            </w:r>
          </w:p>
        </w:tc>
      </w:tr>
      <w:tr w:rsidR="008F1C61" w14:paraId="4F825107" w14:textId="77777777">
        <w:tc>
          <w:tcPr>
            <w:tcW w:w="14400" w:type="dxa"/>
            <w:gridSpan w:val="2"/>
            <w:shd w:val="clear" w:color="auto" w:fill="1F4E79"/>
            <w:vAlign w:val="center"/>
          </w:tcPr>
          <w:p w14:paraId="1348160B" w14:textId="590C197C" w:rsidR="008F1C61" w:rsidRPr="008B4418" w:rsidRDefault="008F1C61" w:rsidP="008B4418">
            <w:pPr>
              <w:pStyle w:val="ListParagraph"/>
              <w:ind w:left="256"/>
              <w:jc w:val="center"/>
              <w:rPr>
                <w:b/>
              </w:rPr>
            </w:pPr>
            <w:r>
              <w:rPr>
                <w:b/>
                <w:bCs/>
                <w:color w:val="FFFFFF"/>
              </w:rPr>
              <w:t xml:space="preserve">Exempt/Level </w:t>
            </w:r>
            <w:r w:rsidR="7ED00324">
              <w:rPr>
                <w:b/>
                <w:bCs/>
                <w:color w:val="FFFFFF"/>
              </w:rPr>
              <w:t xml:space="preserve">I </w:t>
            </w:r>
            <w:r>
              <w:rPr>
                <w:b/>
                <w:bCs/>
                <w:color w:val="FFFFFF"/>
              </w:rPr>
              <w:t>FAQ’s</w:t>
            </w:r>
          </w:p>
        </w:tc>
      </w:tr>
      <w:tr w:rsidR="008F1C61" w14:paraId="49ADACE9" w14:textId="77777777" w:rsidTr="5E1FC3AA">
        <w:tc>
          <w:tcPr>
            <w:tcW w:w="14400" w:type="dxa"/>
            <w:gridSpan w:val="2"/>
            <w:shd w:val="clear" w:color="auto" w:fill="auto"/>
            <w:vAlign w:val="center"/>
          </w:tcPr>
          <w:p w14:paraId="5BA3106B" w14:textId="77777777" w:rsidR="00A96EDF" w:rsidRDefault="008F1C61" w:rsidP="009C4946">
            <w:pPr>
              <w:pStyle w:val="ListParagraph"/>
              <w:numPr>
                <w:ilvl w:val="0"/>
                <w:numId w:val="41"/>
              </w:numPr>
              <w:contextualSpacing/>
            </w:pPr>
            <w:r w:rsidRPr="008B4418">
              <w:rPr>
                <w:b/>
                <w:i/>
              </w:rPr>
              <w:t>Does audio/visual recording of interviews mean that my study cannot be exempt?</w:t>
            </w:r>
            <w:r w:rsidRPr="00EE567D">
              <w:t xml:space="preserve"> </w:t>
            </w:r>
          </w:p>
          <w:p w14:paraId="556B59C0" w14:textId="2B865622" w:rsidR="008F1C61" w:rsidRPr="00EE567D" w:rsidRDefault="008F1C61" w:rsidP="009C4946">
            <w:pPr>
              <w:pStyle w:val="ListParagraph"/>
              <w:ind w:left="630"/>
              <w:contextualSpacing/>
            </w:pPr>
            <w:r w:rsidRPr="00EE567D">
              <w:t xml:space="preserve">No. Audio/video recording is permitted activity in most cases. However, if audio/video recording increases risk, </w:t>
            </w:r>
            <w:r>
              <w:t>you may need to submit a level II/III form</w:t>
            </w:r>
            <w:r w:rsidRPr="00EE567D">
              <w:t>. An example of audio/video recording increasing risk would be an interview in which employees disclose negative opinions of their supervisors.</w:t>
            </w:r>
          </w:p>
          <w:p w14:paraId="0829EF34" w14:textId="77777777" w:rsidR="00A96EDF" w:rsidRPr="009C4946" w:rsidRDefault="00A96EDF" w:rsidP="009C4946">
            <w:pPr>
              <w:pStyle w:val="ListParagraph"/>
              <w:ind w:left="616"/>
              <w:contextualSpacing/>
            </w:pPr>
          </w:p>
          <w:p w14:paraId="48894982" w14:textId="55D5DA70" w:rsidR="00A96EDF" w:rsidRDefault="008F1C61" w:rsidP="009C4946">
            <w:pPr>
              <w:pStyle w:val="ListParagraph"/>
              <w:numPr>
                <w:ilvl w:val="0"/>
                <w:numId w:val="41"/>
              </w:numPr>
              <w:contextualSpacing/>
            </w:pPr>
            <w:r w:rsidRPr="008B4418">
              <w:rPr>
                <w:b/>
                <w:i/>
              </w:rPr>
              <w:t>Can I have prisoners as participants in my Exempt research?</w:t>
            </w:r>
            <w:r w:rsidRPr="00EE567D">
              <w:t xml:space="preserve"> </w:t>
            </w:r>
          </w:p>
          <w:p w14:paraId="125EFD49" w14:textId="3375C813" w:rsidR="008F1C61" w:rsidRPr="00EE567D" w:rsidRDefault="008F1C61" w:rsidP="009C4946">
            <w:pPr>
              <w:pStyle w:val="ListParagraph"/>
              <w:ind w:left="616"/>
              <w:contextualSpacing/>
            </w:pPr>
            <w:r w:rsidRPr="00EE567D">
              <w:t xml:space="preserve">ONLY if they are incidentally included as part of a broader subject population. </w:t>
            </w:r>
          </w:p>
          <w:p w14:paraId="2E3856F3" w14:textId="77777777" w:rsidR="00A96EDF" w:rsidRPr="009C4946" w:rsidRDefault="00A96EDF" w:rsidP="009C4946">
            <w:pPr>
              <w:pStyle w:val="ListParagraph"/>
              <w:ind w:left="616"/>
              <w:contextualSpacing/>
            </w:pPr>
          </w:p>
          <w:p w14:paraId="5308A146" w14:textId="77777777" w:rsidR="00A96EDF" w:rsidRDefault="008F1C61" w:rsidP="009C4946">
            <w:pPr>
              <w:pStyle w:val="ListParagraph"/>
              <w:numPr>
                <w:ilvl w:val="0"/>
                <w:numId w:val="41"/>
              </w:numPr>
              <w:contextualSpacing/>
            </w:pPr>
            <w:r w:rsidRPr="008B4418">
              <w:rPr>
                <w:b/>
                <w:i/>
              </w:rPr>
              <w:t>What does “normal education practice” mean?</w:t>
            </w:r>
            <w:r w:rsidRPr="00EE567D">
              <w:t xml:space="preserve"> </w:t>
            </w:r>
          </w:p>
          <w:p w14:paraId="61278786" w14:textId="4C3210D5" w:rsidR="008F1C61" w:rsidRPr="00EE567D" w:rsidRDefault="008F1C61" w:rsidP="009C4946">
            <w:pPr>
              <w:pStyle w:val="ListParagraph"/>
              <w:ind w:left="616"/>
              <w:contextualSpacing/>
            </w:pPr>
            <w:r w:rsidRPr="00EE567D">
              <w:t xml:space="preserve">A normal educational setting and practice may include a class in a grocery store, professional development workshops, or skills development in children’s summer camps. It is not necessarily limited to primary and secondary public/private educational settings. However, studies that involve new experimental educational practices or settings may not fit into this </w:t>
            </w:r>
            <w:proofErr w:type="gramStart"/>
            <w:r w:rsidRPr="00EE567D">
              <w:t>category</w:t>
            </w:r>
            <w:r w:rsidR="00E5286B">
              <w:t>,</w:t>
            </w:r>
            <w:r w:rsidRPr="00EE567D">
              <w:t xml:space="preserve"> and</w:t>
            </w:r>
            <w:proofErr w:type="gramEnd"/>
            <w:r w:rsidRPr="00EE567D">
              <w:t xml:space="preserve"> may need to be reviewed at a higher level.</w:t>
            </w:r>
          </w:p>
          <w:p w14:paraId="1B94B06B" w14:textId="77777777" w:rsidR="00A96EDF" w:rsidRPr="009C4946" w:rsidRDefault="00A96EDF" w:rsidP="009C4946">
            <w:pPr>
              <w:pStyle w:val="ListParagraph"/>
              <w:ind w:left="616"/>
              <w:contextualSpacing/>
            </w:pPr>
          </w:p>
          <w:p w14:paraId="78C9E55A" w14:textId="77777777" w:rsidR="00A96EDF" w:rsidRDefault="008F1C61" w:rsidP="009C4946">
            <w:pPr>
              <w:pStyle w:val="ListParagraph"/>
              <w:numPr>
                <w:ilvl w:val="0"/>
                <w:numId w:val="41"/>
              </w:numPr>
              <w:contextualSpacing/>
            </w:pPr>
            <w:r w:rsidRPr="008B4418">
              <w:rPr>
                <w:b/>
                <w:i/>
              </w:rPr>
              <w:t>If my survey is completely anonymous but may pose a risk to participants, can it still be exempt?</w:t>
            </w:r>
            <w:r w:rsidRPr="00EE567D">
              <w:t xml:space="preserve"> </w:t>
            </w:r>
          </w:p>
          <w:p w14:paraId="44870DC0" w14:textId="403A7EB7" w:rsidR="008F1C61" w:rsidRPr="00EE567D" w:rsidRDefault="008F1C61" w:rsidP="009C4946">
            <w:pPr>
              <w:pStyle w:val="ListParagraph"/>
              <w:ind w:left="616"/>
              <w:contextualSpacing/>
            </w:pPr>
            <w:r w:rsidRPr="00EE567D">
              <w:t xml:space="preserve">Maybe. In the event that a disclosure of a </w:t>
            </w:r>
            <w:proofErr w:type="gramStart"/>
            <w:r w:rsidRPr="00EE567D">
              <w:t>humans</w:t>
            </w:r>
            <w:proofErr w:type="gramEnd"/>
            <w:r w:rsidRPr="00EE567D">
              <w:t xml:space="preserve"> subject’s responses outside the research could reasonably place them at risk</w:t>
            </w:r>
            <w:r w:rsidR="009224FD">
              <w:t>,</w:t>
            </w:r>
            <w:r w:rsidRPr="00EE567D">
              <w:t xml:space="preserve"> but the data are completely anonymous, exempt category 2 may apply.  A determination for a higher level of review may be made at the discretion of the IRB on a case-by-case basis. However, even when responses are anonymous, if the study presents a risk of causing distress to the subject, the IRB may determine that review of the study by an expedited or full board procedure is appropriate.  Example: </w:t>
            </w:r>
            <w:r w:rsidR="00402485">
              <w:t>a</w:t>
            </w:r>
            <w:r w:rsidRPr="00EE567D">
              <w:t>n anonymous online survey about suicidal ideation.</w:t>
            </w:r>
          </w:p>
          <w:p w14:paraId="1F17618C" w14:textId="77777777" w:rsidR="00A96EDF" w:rsidRPr="009C4946" w:rsidRDefault="00A96EDF" w:rsidP="009C4946">
            <w:pPr>
              <w:pStyle w:val="ListParagraph"/>
              <w:ind w:left="616"/>
              <w:contextualSpacing/>
            </w:pPr>
          </w:p>
          <w:p w14:paraId="028683E2" w14:textId="77777777" w:rsidR="00A96EDF" w:rsidRDefault="008F1C61" w:rsidP="009C4946">
            <w:pPr>
              <w:pStyle w:val="ListParagraph"/>
              <w:numPr>
                <w:ilvl w:val="0"/>
                <w:numId w:val="41"/>
              </w:numPr>
              <w:contextualSpacing/>
            </w:pPr>
            <w:r w:rsidRPr="008B4418">
              <w:rPr>
                <w:b/>
                <w:i/>
              </w:rPr>
              <w:t>Can my study be exempt in more than one category?</w:t>
            </w:r>
            <w:r w:rsidRPr="00EE567D">
              <w:t xml:space="preserve"> </w:t>
            </w:r>
          </w:p>
          <w:p w14:paraId="0C275213" w14:textId="5F05F4A0" w:rsidR="008F1C61" w:rsidRPr="00EE567D" w:rsidRDefault="008F1C61" w:rsidP="009C4946">
            <w:pPr>
              <w:pStyle w:val="ListParagraph"/>
              <w:ind w:left="616"/>
              <w:contextualSpacing/>
            </w:pPr>
            <w:r w:rsidRPr="00EE567D">
              <w:t xml:space="preserve">Yes. All research activities that involve human subjects must fit within one or more of the exempt categories </w:t>
            </w:r>
            <w:proofErr w:type="gramStart"/>
            <w:r w:rsidRPr="00EE567D">
              <w:t>in order to</w:t>
            </w:r>
            <w:proofErr w:type="gramEnd"/>
            <w:r w:rsidRPr="00EE567D">
              <w:t xml:space="preserve"> be given an exempt determination.</w:t>
            </w:r>
            <w:r>
              <w:t xml:space="preserve"> If any aspect of the research falls outside of a category of exemption, complete a level II/III form.</w:t>
            </w:r>
          </w:p>
          <w:p w14:paraId="5BEC2B88" w14:textId="77777777" w:rsidR="005900FC" w:rsidRDefault="008F1C61" w:rsidP="009C4946">
            <w:pPr>
              <w:pStyle w:val="ListParagraph"/>
              <w:numPr>
                <w:ilvl w:val="0"/>
                <w:numId w:val="41"/>
              </w:numPr>
              <w:contextualSpacing/>
            </w:pPr>
            <w:r w:rsidRPr="008B4418">
              <w:rPr>
                <w:b/>
                <w:i/>
              </w:rPr>
              <w:lastRenderedPageBreak/>
              <w:t>Do “exempt” studies have to be reviewed by the IRB?</w:t>
            </w:r>
            <w:r w:rsidRPr="00EE567D">
              <w:t xml:space="preserve"> </w:t>
            </w:r>
          </w:p>
          <w:p w14:paraId="5B8455C7" w14:textId="00CD380E" w:rsidR="008F1C61" w:rsidRPr="00EE567D" w:rsidRDefault="008F1C61" w:rsidP="009C4946">
            <w:pPr>
              <w:pStyle w:val="ListParagraph"/>
              <w:ind w:left="616"/>
              <w:contextualSpacing/>
            </w:pPr>
            <w:r w:rsidRPr="00EE567D">
              <w:t xml:space="preserve">Yes. Exempt studies are so named because they are exempt from some, but not all regulations. </w:t>
            </w:r>
            <w:r w:rsidRPr="008B4418">
              <w:rPr>
                <w:u w:val="single"/>
              </w:rPr>
              <w:t>They are not exempt from state laws, institutional policies, or for the requirements for ethical research</w:t>
            </w:r>
            <w:r w:rsidRPr="00EE567D">
              <w:t>.</w:t>
            </w:r>
          </w:p>
          <w:p w14:paraId="01F92EF4" w14:textId="77777777" w:rsidR="005900FC" w:rsidRPr="009C4946" w:rsidRDefault="005900FC" w:rsidP="009C4946">
            <w:pPr>
              <w:pStyle w:val="ListParagraph"/>
              <w:ind w:left="616"/>
              <w:contextualSpacing/>
            </w:pPr>
          </w:p>
          <w:p w14:paraId="2436A538" w14:textId="77777777" w:rsidR="005900FC" w:rsidRDefault="008F1C61" w:rsidP="009C4946">
            <w:pPr>
              <w:pStyle w:val="ListParagraph"/>
              <w:numPr>
                <w:ilvl w:val="0"/>
                <w:numId w:val="41"/>
              </w:numPr>
              <w:contextualSpacing/>
            </w:pPr>
            <w:r w:rsidRPr="008B4418">
              <w:rPr>
                <w:b/>
                <w:i/>
              </w:rPr>
              <w:t>Can my study be exempt if it involves documents, records, or biological specimens that do not yet exist and will be collected as they become available?</w:t>
            </w:r>
            <w:r w:rsidRPr="00EE567D">
              <w:t xml:space="preserve"> </w:t>
            </w:r>
          </w:p>
          <w:p w14:paraId="7EDB99F1" w14:textId="0B36BC04" w:rsidR="008F1C61" w:rsidRDefault="008F1C61" w:rsidP="009C4946">
            <w:pPr>
              <w:pStyle w:val="ListParagraph"/>
              <w:ind w:left="616"/>
              <w:contextualSpacing/>
            </w:pPr>
            <w:r>
              <w:t xml:space="preserve">No. </w:t>
            </w:r>
            <w:proofErr w:type="gramStart"/>
            <w:r>
              <w:t>In order for</w:t>
            </w:r>
            <w:proofErr w:type="gramEnd"/>
            <w:r>
              <w:t xml:space="preserve"> a research study to be exempt, all data, documents, specimens, and records must already exist at the time the PI submits the research protocol. Prospective data collection, i.e.</w:t>
            </w:r>
            <w:r w:rsidR="00E72A12">
              <w:t>,</w:t>
            </w:r>
            <w:r>
              <w:t xml:space="preserve"> data collected as they become available, will need to be reviewed via a level II/III form.</w:t>
            </w:r>
          </w:p>
        </w:tc>
      </w:tr>
    </w:tbl>
    <w:p w14:paraId="26CF31F3" w14:textId="77777777" w:rsidR="00A9268B" w:rsidRPr="005F6CF7" w:rsidRDefault="00A9268B" w:rsidP="00816DCF">
      <w:pPr>
        <w:pStyle w:val="Default"/>
        <w:rPr>
          <w:rFonts w:ascii="Corbel" w:hAnsi="Corbel"/>
          <w:color w:val="auto"/>
        </w:rPr>
      </w:pPr>
    </w:p>
    <w:sectPr w:rsidR="00A9268B" w:rsidRPr="005F6CF7" w:rsidSect="008F1C61">
      <w:headerReference w:type="default" r:id="rId13"/>
      <w:footerReference w:type="default" r:id="rId14"/>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52AF" w14:textId="77777777" w:rsidR="001E5993" w:rsidRDefault="001E5993" w:rsidP="00E44BB3">
      <w:r>
        <w:separator/>
      </w:r>
    </w:p>
  </w:endnote>
  <w:endnote w:type="continuationSeparator" w:id="0">
    <w:p w14:paraId="3F58205B" w14:textId="77777777" w:rsidR="001E5993" w:rsidRDefault="001E5993" w:rsidP="00E4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BFB2" w14:textId="77777777" w:rsidR="001736EA" w:rsidRDefault="001736EA">
    <w:pPr>
      <w:pStyle w:val="Footer"/>
    </w:pPr>
  </w:p>
  <w:tbl>
    <w:tblPr>
      <w:tblW w:w="0" w:type="auto"/>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5310"/>
      <w:gridCol w:w="5310"/>
    </w:tblGrid>
    <w:tr w:rsidR="001736EA" w14:paraId="5F6A0248" w14:textId="77777777" w:rsidTr="00E61E13">
      <w:trPr>
        <w:jc w:val="center"/>
      </w:trPr>
      <w:tc>
        <w:tcPr>
          <w:tcW w:w="5310" w:type="dxa"/>
          <w:shd w:val="clear" w:color="auto" w:fill="auto"/>
        </w:tcPr>
        <w:p w14:paraId="6F0C169B" w14:textId="77777777" w:rsidR="001736EA" w:rsidRDefault="001736EA">
          <w:pPr>
            <w:pStyle w:val="Footer"/>
          </w:pPr>
          <w:r>
            <w:t xml:space="preserve">Page </w:t>
          </w:r>
          <w:r w:rsidRPr="001736EA">
            <w:rPr>
              <w:b/>
            </w:rPr>
            <w:fldChar w:fldCharType="begin"/>
          </w:r>
          <w:r w:rsidRPr="001736EA">
            <w:rPr>
              <w:b/>
            </w:rPr>
            <w:instrText xml:space="preserve"> PAGE  \* Arabic  \* MERGEFORMAT </w:instrText>
          </w:r>
          <w:r w:rsidRPr="001736EA">
            <w:rPr>
              <w:b/>
            </w:rPr>
            <w:fldChar w:fldCharType="separate"/>
          </w:r>
          <w:r w:rsidR="00FF4279">
            <w:rPr>
              <w:b/>
              <w:noProof/>
            </w:rPr>
            <w:t>1</w:t>
          </w:r>
          <w:r w:rsidRPr="001736EA">
            <w:rPr>
              <w:b/>
            </w:rPr>
            <w:fldChar w:fldCharType="end"/>
          </w:r>
          <w:r>
            <w:t xml:space="preserve"> of </w:t>
          </w:r>
          <w:r w:rsidRPr="001736EA">
            <w:rPr>
              <w:b/>
            </w:rPr>
            <w:fldChar w:fldCharType="begin"/>
          </w:r>
          <w:r w:rsidRPr="001736EA">
            <w:rPr>
              <w:b/>
            </w:rPr>
            <w:instrText xml:space="preserve"> NUMPAGES  \* Arabic  \* MERGEFORMAT </w:instrText>
          </w:r>
          <w:r w:rsidRPr="001736EA">
            <w:rPr>
              <w:b/>
            </w:rPr>
            <w:fldChar w:fldCharType="separate"/>
          </w:r>
          <w:r w:rsidR="00FF4279">
            <w:rPr>
              <w:b/>
              <w:noProof/>
            </w:rPr>
            <w:t>2</w:t>
          </w:r>
          <w:r w:rsidRPr="001736EA">
            <w:rPr>
              <w:b/>
            </w:rPr>
            <w:fldChar w:fldCharType="end"/>
          </w:r>
        </w:p>
      </w:tc>
      <w:tc>
        <w:tcPr>
          <w:tcW w:w="5310" w:type="dxa"/>
          <w:shd w:val="clear" w:color="auto" w:fill="auto"/>
        </w:tcPr>
        <w:p w14:paraId="3DCC3DC2" w14:textId="77777777" w:rsidR="001736EA" w:rsidRDefault="00816DCF">
          <w:pPr>
            <w:pStyle w:val="Footer"/>
          </w:pPr>
          <w:r>
            <w:t>REVISED</w:t>
          </w:r>
          <w:r w:rsidR="001736EA">
            <w:t xml:space="preserve">: </w:t>
          </w:r>
          <w:r>
            <w:t>November 2019</w:t>
          </w:r>
        </w:p>
      </w:tc>
    </w:tr>
  </w:tbl>
  <w:p w14:paraId="00E676F3" w14:textId="77777777" w:rsidR="001736EA" w:rsidRDefault="00173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6EF1" w14:textId="77777777" w:rsidR="001E5993" w:rsidRDefault="001E5993" w:rsidP="00E44BB3">
      <w:r>
        <w:separator/>
      </w:r>
    </w:p>
  </w:footnote>
  <w:footnote w:type="continuationSeparator" w:id="0">
    <w:p w14:paraId="181CABCE" w14:textId="77777777" w:rsidR="001E5993" w:rsidRDefault="001E5993" w:rsidP="00E4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EBE3" w14:textId="77777777" w:rsidR="00E44BB3" w:rsidRDefault="00000000" w:rsidP="008F1C61">
    <w:pPr>
      <w:pStyle w:val="Header"/>
      <w:spacing w:before="120" w:after="120"/>
    </w:pPr>
    <w:r>
      <w:rPr>
        <w:noProof/>
      </w:rPr>
      <w:pict w14:anchorId="0B8DA89B">
        <v:shapetype id="_x0000_t202" coordsize="21600,21600" o:spt="202" path="m,l,21600r21600,l21600,xe">
          <v:stroke joinstyle="miter"/>
          <v:path gradientshapeok="t" o:connecttype="rect"/>
        </v:shapetype>
        <v:shape id="_x0000_s1026" type="#_x0000_t202" style="position:absolute;margin-left:268.25pt;margin-top:8.2pt;width:349.95pt;height:25.95pt;z-index:1" strokecolor="white">
          <v:textbox style="mso-next-textbox:#_x0000_s1026">
            <w:txbxContent>
              <w:p w14:paraId="4C6C70BE" w14:textId="77777777" w:rsidR="00E44BB3" w:rsidRPr="00E51DAC" w:rsidRDefault="00E44BB3" w:rsidP="00E44BB3">
                <w:pPr>
                  <w:jc w:val="right"/>
                  <w:rPr>
                    <w:rFonts w:ascii="Century Gothic" w:hAnsi="Century Gothic"/>
                    <w:sz w:val="20"/>
                  </w:rPr>
                </w:pPr>
                <w:r w:rsidRPr="00E51DAC">
                  <w:rPr>
                    <w:rFonts w:ascii="Century Gothic" w:hAnsi="Century Gothic"/>
                    <w:sz w:val="20"/>
                  </w:rPr>
                  <w:t>INSTITUTIONAL REVI</w:t>
                </w:r>
                <w:r w:rsidR="00891735">
                  <w:rPr>
                    <w:rFonts w:ascii="Century Gothic" w:hAnsi="Century Gothic"/>
                    <w:sz w:val="20"/>
                  </w:rPr>
                  <w:t xml:space="preserve">EW BOARD </w:t>
                </w:r>
                <w:r w:rsidR="008F1C61">
                  <w:rPr>
                    <w:rFonts w:ascii="Century Gothic" w:hAnsi="Century Gothic"/>
                    <w:sz w:val="20"/>
                  </w:rPr>
                  <w:t>GUIDANCE</w:t>
                </w:r>
              </w:p>
            </w:txbxContent>
          </v:textbox>
        </v:shape>
      </w:pict>
    </w:r>
    <w:r>
      <w:rPr>
        <w:noProof/>
      </w:rPr>
      <w:pict w14:anchorId="548A06E8">
        <v:shapetype id="_x0000_t32" coordsize="21600,21600" o:spt="32" o:oned="t" path="m,l21600,21600e" filled="f">
          <v:path arrowok="t" fillok="f" o:connecttype="none"/>
          <o:lock v:ext="edit" shapetype="t"/>
        </v:shapetype>
        <v:shape id="_x0000_s1025" type="#_x0000_t32" style="position:absolute;margin-left:129.8pt;margin-top:32.65pt;width:492.7pt;height:0;z-index:2" o:connectortype="straight" strokeweight="2pt">
          <v:stroke dashstyle="1 1" endcap="round"/>
        </v:shape>
      </w:pict>
    </w:r>
    <w:r w:rsidR="00816DCF">
      <w:t xml:space="preserve">  </w:t>
    </w:r>
    <w:r>
      <w:pict w14:anchorId="4E37C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6.75pt">
          <v:imagedata r:id="rId1" o:title="blueandgold"/>
        </v:shape>
      </w:pict>
    </w:r>
    <w:r w:rsidR="00816DC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64ED2"/>
    <w:multiLevelType w:val="hybridMultilevel"/>
    <w:tmpl w:val="BBB6C0CA"/>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EBB104"/>
    <w:multiLevelType w:val="hybridMultilevel"/>
    <w:tmpl w:val="7DEA0D0E"/>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D747D"/>
    <w:multiLevelType w:val="hybridMultilevel"/>
    <w:tmpl w:val="770E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25CC9"/>
    <w:multiLevelType w:val="multilevel"/>
    <w:tmpl w:val="A7D6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3545B"/>
    <w:multiLevelType w:val="hybridMultilevel"/>
    <w:tmpl w:val="F6D4EE24"/>
    <w:lvl w:ilvl="0" w:tplc="58BCBE7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41682"/>
    <w:multiLevelType w:val="hybridMultilevel"/>
    <w:tmpl w:val="C2C4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8022E"/>
    <w:multiLevelType w:val="hybridMultilevel"/>
    <w:tmpl w:val="A4947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BD5838"/>
    <w:multiLevelType w:val="hybridMultilevel"/>
    <w:tmpl w:val="47DADA7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94F7B"/>
    <w:multiLevelType w:val="hybridMultilevel"/>
    <w:tmpl w:val="E3A8206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1580EDA"/>
    <w:multiLevelType w:val="hybridMultilevel"/>
    <w:tmpl w:val="D4DC94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82171"/>
    <w:multiLevelType w:val="hybridMultilevel"/>
    <w:tmpl w:val="8B86F5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70BD2"/>
    <w:multiLevelType w:val="hybridMultilevel"/>
    <w:tmpl w:val="7536019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679CB"/>
    <w:multiLevelType w:val="hybridMultilevel"/>
    <w:tmpl w:val="6226B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83F69"/>
    <w:multiLevelType w:val="hybridMultilevel"/>
    <w:tmpl w:val="D9A06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8401A8"/>
    <w:multiLevelType w:val="hybridMultilevel"/>
    <w:tmpl w:val="0A5E3052"/>
    <w:lvl w:ilvl="0" w:tplc="58BCBE7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792"/>
    <w:multiLevelType w:val="hybridMultilevel"/>
    <w:tmpl w:val="6A4AF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D339A"/>
    <w:multiLevelType w:val="hybridMultilevel"/>
    <w:tmpl w:val="040EDFF6"/>
    <w:lvl w:ilvl="0" w:tplc="AE92858E">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B55009"/>
    <w:multiLevelType w:val="hybridMultilevel"/>
    <w:tmpl w:val="7A9A057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455BC"/>
    <w:multiLevelType w:val="hybridMultilevel"/>
    <w:tmpl w:val="962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87BD5"/>
    <w:multiLevelType w:val="multilevel"/>
    <w:tmpl w:val="E0D61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64079"/>
    <w:multiLevelType w:val="hybridMultilevel"/>
    <w:tmpl w:val="6A4AF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F637D"/>
    <w:multiLevelType w:val="hybridMultilevel"/>
    <w:tmpl w:val="DB3A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70184"/>
    <w:multiLevelType w:val="hybridMultilevel"/>
    <w:tmpl w:val="CD3C2E4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40A83ECF"/>
    <w:multiLevelType w:val="multilevel"/>
    <w:tmpl w:val="94E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9E18BD"/>
    <w:multiLevelType w:val="hybridMultilevel"/>
    <w:tmpl w:val="94F05BF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33B0225"/>
    <w:multiLevelType w:val="hybridMultilevel"/>
    <w:tmpl w:val="59EADB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D2AAA"/>
    <w:multiLevelType w:val="hybridMultilevel"/>
    <w:tmpl w:val="CAA4B2D0"/>
    <w:lvl w:ilvl="0" w:tplc="A824E668">
      <w:numFmt w:val="bullet"/>
      <w:lvlText w:val=""/>
      <w:lvlJc w:val="left"/>
      <w:pPr>
        <w:ind w:left="720" w:hanging="360"/>
      </w:pPr>
      <w:rPr>
        <w:rFonts w:ascii="Times New Roman" w:eastAsia="Calibr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34B93"/>
    <w:multiLevelType w:val="hybridMultilevel"/>
    <w:tmpl w:val="DB446E1A"/>
    <w:lvl w:ilvl="0" w:tplc="A656B944">
      <w:start w:val="1"/>
      <w:numFmt w:val="decimal"/>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8" w15:restartNumberingAfterBreak="0">
    <w:nsid w:val="49C54D96"/>
    <w:multiLevelType w:val="hybridMultilevel"/>
    <w:tmpl w:val="BF3037E6"/>
    <w:lvl w:ilvl="0" w:tplc="72B626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D1C8D"/>
    <w:multiLevelType w:val="hybridMultilevel"/>
    <w:tmpl w:val="20D4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E073E"/>
    <w:multiLevelType w:val="hybridMultilevel"/>
    <w:tmpl w:val="E844376C"/>
    <w:lvl w:ilvl="0" w:tplc="815AC0EA">
      <w:start w:val="1"/>
      <w:numFmt w:val="lowerRoman"/>
      <w:lvlText w:val="%1."/>
      <w:lvlJc w:val="right"/>
      <w:rPr>
        <w:rFonts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BC10B5"/>
    <w:multiLevelType w:val="hybridMultilevel"/>
    <w:tmpl w:val="36B6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413AEB"/>
    <w:multiLevelType w:val="hybridMultilevel"/>
    <w:tmpl w:val="F76454B0"/>
    <w:lvl w:ilvl="0" w:tplc="472AA94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55260C"/>
    <w:multiLevelType w:val="hybridMultilevel"/>
    <w:tmpl w:val="9152838C"/>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4" w15:restartNumberingAfterBreak="0">
    <w:nsid w:val="53CE55A9"/>
    <w:multiLevelType w:val="hybridMultilevel"/>
    <w:tmpl w:val="C6C865B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B034A"/>
    <w:multiLevelType w:val="hybridMultilevel"/>
    <w:tmpl w:val="D826B736"/>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68A24BCD"/>
    <w:multiLevelType w:val="hybridMultilevel"/>
    <w:tmpl w:val="833E6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1796F"/>
    <w:multiLevelType w:val="hybridMultilevel"/>
    <w:tmpl w:val="D17AD7E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D546C43"/>
    <w:multiLevelType w:val="hybridMultilevel"/>
    <w:tmpl w:val="E0CC7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90CDD"/>
    <w:multiLevelType w:val="hybridMultilevel"/>
    <w:tmpl w:val="A4303636"/>
    <w:lvl w:ilvl="0" w:tplc="0010BCEC">
      <w:start w:val="1"/>
      <w:numFmt w:val="lowerRoman"/>
      <w:lvlText w:val="%1."/>
      <w:lvlJc w:val="right"/>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51296"/>
    <w:multiLevelType w:val="hybridMultilevel"/>
    <w:tmpl w:val="613814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356C8"/>
    <w:multiLevelType w:val="hybridMultilevel"/>
    <w:tmpl w:val="E73A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7155873">
    <w:abstractNumId w:val="18"/>
  </w:num>
  <w:num w:numId="2" w16cid:durableId="1319312081">
    <w:abstractNumId w:val="26"/>
  </w:num>
  <w:num w:numId="3" w16cid:durableId="480850124">
    <w:abstractNumId w:val="21"/>
  </w:num>
  <w:num w:numId="4" w16cid:durableId="273295278">
    <w:abstractNumId w:val="10"/>
  </w:num>
  <w:num w:numId="5" w16cid:durableId="797987939">
    <w:abstractNumId w:val="34"/>
  </w:num>
  <w:num w:numId="6" w16cid:durableId="1419904772">
    <w:abstractNumId w:val="7"/>
  </w:num>
  <w:num w:numId="7" w16cid:durableId="1131091273">
    <w:abstractNumId w:val="22"/>
  </w:num>
  <w:num w:numId="8" w16cid:durableId="1679112409">
    <w:abstractNumId w:val="25"/>
  </w:num>
  <w:num w:numId="9" w16cid:durableId="588470043">
    <w:abstractNumId w:val="9"/>
  </w:num>
  <w:num w:numId="10" w16cid:durableId="1707830580">
    <w:abstractNumId w:val="24"/>
  </w:num>
  <w:num w:numId="11" w16cid:durableId="1347827101">
    <w:abstractNumId w:val="37"/>
  </w:num>
  <w:num w:numId="12" w16cid:durableId="2129230778">
    <w:abstractNumId w:val="19"/>
  </w:num>
  <w:num w:numId="13" w16cid:durableId="1237978295">
    <w:abstractNumId w:val="14"/>
  </w:num>
  <w:num w:numId="14" w16cid:durableId="2109887167">
    <w:abstractNumId w:val="6"/>
  </w:num>
  <w:num w:numId="15" w16cid:durableId="2129933544">
    <w:abstractNumId w:val="12"/>
  </w:num>
  <w:num w:numId="16" w16cid:durableId="128520157">
    <w:abstractNumId w:val="4"/>
  </w:num>
  <w:num w:numId="17" w16cid:durableId="1936207723">
    <w:abstractNumId w:val="28"/>
  </w:num>
  <w:num w:numId="18" w16cid:durableId="2111050954">
    <w:abstractNumId w:val="3"/>
  </w:num>
  <w:num w:numId="19" w16cid:durableId="1358040740">
    <w:abstractNumId w:val="23"/>
  </w:num>
  <w:num w:numId="20" w16cid:durableId="1529561392">
    <w:abstractNumId w:val="2"/>
  </w:num>
  <w:num w:numId="21" w16cid:durableId="1353652158">
    <w:abstractNumId w:val="8"/>
  </w:num>
  <w:num w:numId="22" w16cid:durableId="979310744">
    <w:abstractNumId w:val="36"/>
  </w:num>
  <w:num w:numId="23" w16cid:durableId="1056584182">
    <w:abstractNumId w:val="16"/>
  </w:num>
  <w:num w:numId="24" w16cid:durableId="673916433">
    <w:abstractNumId w:val="32"/>
  </w:num>
  <w:num w:numId="25" w16cid:durableId="1441218612">
    <w:abstractNumId w:val="13"/>
  </w:num>
  <w:num w:numId="26" w16cid:durableId="1933734762">
    <w:abstractNumId w:val="35"/>
  </w:num>
  <w:num w:numId="27" w16cid:durableId="1164274435">
    <w:abstractNumId w:val="5"/>
  </w:num>
  <w:num w:numId="28" w16cid:durableId="1816676762">
    <w:abstractNumId w:val="0"/>
  </w:num>
  <w:num w:numId="29" w16cid:durableId="1651203902">
    <w:abstractNumId w:val="40"/>
  </w:num>
  <w:num w:numId="30" w16cid:durableId="1459765552">
    <w:abstractNumId w:val="17"/>
  </w:num>
  <w:num w:numId="31" w16cid:durableId="892083641">
    <w:abstractNumId w:val="1"/>
  </w:num>
  <w:num w:numId="32" w16cid:durableId="882837396">
    <w:abstractNumId w:val="11"/>
  </w:num>
  <w:num w:numId="33" w16cid:durableId="826436024">
    <w:abstractNumId w:val="29"/>
  </w:num>
  <w:num w:numId="34" w16cid:durableId="715541624">
    <w:abstractNumId w:val="30"/>
  </w:num>
  <w:num w:numId="35" w16cid:durableId="81146311">
    <w:abstractNumId w:val="20"/>
  </w:num>
  <w:num w:numId="36" w16cid:durableId="1295015938">
    <w:abstractNumId w:val="15"/>
  </w:num>
  <w:num w:numId="37" w16cid:durableId="1574270646">
    <w:abstractNumId w:val="39"/>
  </w:num>
  <w:num w:numId="38" w16cid:durableId="814835948">
    <w:abstractNumId w:val="41"/>
  </w:num>
  <w:num w:numId="39" w16cid:durableId="587348843">
    <w:abstractNumId w:val="33"/>
  </w:num>
  <w:num w:numId="40" w16cid:durableId="2132507627">
    <w:abstractNumId w:val="31"/>
  </w:num>
  <w:num w:numId="41" w16cid:durableId="1240868803">
    <w:abstractNumId w:val="27"/>
  </w:num>
  <w:num w:numId="42" w16cid:durableId="15966500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4BB3"/>
    <w:rsid w:val="0000717D"/>
    <w:rsid w:val="00010B91"/>
    <w:rsid w:val="00012B9B"/>
    <w:rsid w:val="00026F17"/>
    <w:rsid w:val="000415C3"/>
    <w:rsid w:val="00057B76"/>
    <w:rsid w:val="00060AF9"/>
    <w:rsid w:val="00071B78"/>
    <w:rsid w:val="00082AD5"/>
    <w:rsid w:val="000904AD"/>
    <w:rsid w:val="000A4810"/>
    <w:rsid w:val="000A57BA"/>
    <w:rsid w:val="000A6557"/>
    <w:rsid w:val="000E72B5"/>
    <w:rsid w:val="0011413E"/>
    <w:rsid w:val="00124CF5"/>
    <w:rsid w:val="00126ECD"/>
    <w:rsid w:val="001367BB"/>
    <w:rsid w:val="00140452"/>
    <w:rsid w:val="00142124"/>
    <w:rsid w:val="00143FFE"/>
    <w:rsid w:val="00164484"/>
    <w:rsid w:val="001736EA"/>
    <w:rsid w:val="00185BBA"/>
    <w:rsid w:val="001A1289"/>
    <w:rsid w:val="001A4916"/>
    <w:rsid w:val="001A5067"/>
    <w:rsid w:val="001C5B58"/>
    <w:rsid w:val="001D2C0B"/>
    <w:rsid w:val="001D57FA"/>
    <w:rsid w:val="001E4FAB"/>
    <w:rsid w:val="001E5993"/>
    <w:rsid w:val="00220457"/>
    <w:rsid w:val="00233A40"/>
    <w:rsid w:val="002638E1"/>
    <w:rsid w:val="0027044A"/>
    <w:rsid w:val="00283B65"/>
    <w:rsid w:val="00284672"/>
    <w:rsid w:val="0028491C"/>
    <w:rsid w:val="002A48FD"/>
    <w:rsid w:val="002B1D15"/>
    <w:rsid w:val="002C39FE"/>
    <w:rsid w:val="002E4A3C"/>
    <w:rsid w:val="00305485"/>
    <w:rsid w:val="0035014C"/>
    <w:rsid w:val="0038189B"/>
    <w:rsid w:val="00395107"/>
    <w:rsid w:val="003B359F"/>
    <w:rsid w:val="003D07CC"/>
    <w:rsid w:val="00402485"/>
    <w:rsid w:val="00417051"/>
    <w:rsid w:val="004457E7"/>
    <w:rsid w:val="00461E20"/>
    <w:rsid w:val="0046606F"/>
    <w:rsid w:val="00466FBF"/>
    <w:rsid w:val="004708F7"/>
    <w:rsid w:val="004777BB"/>
    <w:rsid w:val="004A2A39"/>
    <w:rsid w:val="004B3BBF"/>
    <w:rsid w:val="00521992"/>
    <w:rsid w:val="00521A43"/>
    <w:rsid w:val="005311C1"/>
    <w:rsid w:val="00531F0B"/>
    <w:rsid w:val="00537903"/>
    <w:rsid w:val="00557814"/>
    <w:rsid w:val="00565352"/>
    <w:rsid w:val="00570CF2"/>
    <w:rsid w:val="00582D19"/>
    <w:rsid w:val="005900FC"/>
    <w:rsid w:val="005A5454"/>
    <w:rsid w:val="005B0B74"/>
    <w:rsid w:val="005B0C35"/>
    <w:rsid w:val="005B58EF"/>
    <w:rsid w:val="005D0B2D"/>
    <w:rsid w:val="005D7D8E"/>
    <w:rsid w:val="005F6CF7"/>
    <w:rsid w:val="00610031"/>
    <w:rsid w:val="0062070B"/>
    <w:rsid w:val="00632100"/>
    <w:rsid w:val="00634F5F"/>
    <w:rsid w:val="0063680F"/>
    <w:rsid w:val="00647259"/>
    <w:rsid w:val="006539A1"/>
    <w:rsid w:val="0067692B"/>
    <w:rsid w:val="006828EB"/>
    <w:rsid w:val="00683073"/>
    <w:rsid w:val="00695AB7"/>
    <w:rsid w:val="006E5B11"/>
    <w:rsid w:val="006F2A97"/>
    <w:rsid w:val="006F4A53"/>
    <w:rsid w:val="007013C4"/>
    <w:rsid w:val="00703959"/>
    <w:rsid w:val="007163AE"/>
    <w:rsid w:val="00727465"/>
    <w:rsid w:val="00737BD4"/>
    <w:rsid w:val="007511BE"/>
    <w:rsid w:val="00752A98"/>
    <w:rsid w:val="007636A9"/>
    <w:rsid w:val="007645BA"/>
    <w:rsid w:val="00773A6E"/>
    <w:rsid w:val="0078071A"/>
    <w:rsid w:val="00782B96"/>
    <w:rsid w:val="00797A20"/>
    <w:rsid w:val="007B36E0"/>
    <w:rsid w:val="007E0D73"/>
    <w:rsid w:val="007E2A88"/>
    <w:rsid w:val="007E4A58"/>
    <w:rsid w:val="007E7F82"/>
    <w:rsid w:val="007F74E2"/>
    <w:rsid w:val="00812D43"/>
    <w:rsid w:val="00816DCF"/>
    <w:rsid w:val="00832F63"/>
    <w:rsid w:val="008331BE"/>
    <w:rsid w:val="00843D00"/>
    <w:rsid w:val="00850D36"/>
    <w:rsid w:val="00850F73"/>
    <w:rsid w:val="00855864"/>
    <w:rsid w:val="00870482"/>
    <w:rsid w:val="00891735"/>
    <w:rsid w:val="008A0AFD"/>
    <w:rsid w:val="008B055D"/>
    <w:rsid w:val="008B3C76"/>
    <w:rsid w:val="008B4418"/>
    <w:rsid w:val="008D19C0"/>
    <w:rsid w:val="008D5287"/>
    <w:rsid w:val="008F1C61"/>
    <w:rsid w:val="008F5A7A"/>
    <w:rsid w:val="009224FD"/>
    <w:rsid w:val="009245AA"/>
    <w:rsid w:val="00924E26"/>
    <w:rsid w:val="00942AB6"/>
    <w:rsid w:val="00943DCD"/>
    <w:rsid w:val="00964C6A"/>
    <w:rsid w:val="00975135"/>
    <w:rsid w:val="009852D2"/>
    <w:rsid w:val="00991FF1"/>
    <w:rsid w:val="009C4946"/>
    <w:rsid w:val="009C5A43"/>
    <w:rsid w:val="009E7FC6"/>
    <w:rsid w:val="00A02539"/>
    <w:rsid w:val="00A06AED"/>
    <w:rsid w:val="00A17A03"/>
    <w:rsid w:val="00A27B0B"/>
    <w:rsid w:val="00A304EB"/>
    <w:rsid w:val="00A324FB"/>
    <w:rsid w:val="00A33CC5"/>
    <w:rsid w:val="00A43097"/>
    <w:rsid w:val="00A52585"/>
    <w:rsid w:val="00A57019"/>
    <w:rsid w:val="00A74FD3"/>
    <w:rsid w:val="00A82654"/>
    <w:rsid w:val="00A9268B"/>
    <w:rsid w:val="00A96EDF"/>
    <w:rsid w:val="00AB6EA4"/>
    <w:rsid w:val="00AE10B2"/>
    <w:rsid w:val="00AE6B0B"/>
    <w:rsid w:val="00AF72F7"/>
    <w:rsid w:val="00B36EE1"/>
    <w:rsid w:val="00B51C0F"/>
    <w:rsid w:val="00B54EE8"/>
    <w:rsid w:val="00B82001"/>
    <w:rsid w:val="00BE0D0D"/>
    <w:rsid w:val="00BE1295"/>
    <w:rsid w:val="00C10F93"/>
    <w:rsid w:val="00C45DB3"/>
    <w:rsid w:val="00C61BE1"/>
    <w:rsid w:val="00C67470"/>
    <w:rsid w:val="00C82DBF"/>
    <w:rsid w:val="00C90172"/>
    <w:rsid w:val="00CC5878"/>
    <w:rsid w:val="00D00316"/>
    <w:rsid w:val="00D019B6"/>
    <w:rsid w:val="00D4704D"/>
    <w:rsid w:val="00DB34D5"/>
    <w:rsid w:val="00DB3728"/>
    <w:rsid w:val="00DD1660"/>
    <w:rsid w:val="00DD1FFF"/>
    <w:rsid w:val="00DD2E23"/>
    <w:rsid w:val="00E00785"/>
    <w:rsid w:val="00E01971"/>
    <w:rsid w:val="00E10753"/>
    <w:rsid w:val="00E36D1F"/>
    <w:rsid w:val="00E36F6E"/>
    <w:rsid w:val="00E44BB3"/>
    <w:rsid w:val="00E51DAC"/>
    <w:rsid w:val="00E5286B"/>
    <w:rsid w:val="00E5370B"/>
    <w:rsid w:val="00E61E13"/>
    <w:rsid w:val="00E72A12"/>
    <w:rsid w:val="00E878E8"/>
    <w:rsid w:val="00EA66F7"/>
    <w:rsid w:val="00EB2CC3"/>
    <w:rsid w:val="00ED1674"/>
    <w:rsid w:val="00ED280F"/>
    <w:rsid w:val="00EF28C0"/>
    <w:rsid w:val="00F236D4"/>
    <w:rsid w:val="00F45BA8"/>
    <w:rsid w:val="00FB3D6C"/>
    <w:rsid w:val="00FB69BC"/>
    <w:rsid w:val="00FD70A8"/>
    <w:rsid w:val="00FE71C2"/>
    <w:rsid w:val="00FF4279"/>
    <w:rsid w:val="018A37C6"/>
    <w:rsid w:val="09E7712A"/>
    <w:rsid w:val="0F435564"/>
    <w:rsid w:val="127AF626"/>
    <w:rsid w:val="1416C687"/>
    <w:rsid w:val="17E56D87"/>
    <w:rsid w:val="19EC2D81"/>
    <w:rsid w:val="20F20385"/>
    <w:rsid w:val="25D0A838"/>
    <w:rsid w:val="2A94FE91"/>
    <w:rsid w:val="2B7E8120"/>
    <w:rsid w:val="2D1A5181"/>
    <w:rsid w:val="2DDBBA1D"/>
    <w:rsid w:val="31135ADF"/>
    <w:rsid w:val="3A99BAE8"/>
    <w:rsid w:val="51722F9B"/>
    <w:rsid w:val="597D4180"/>
    <w:rsid w:val="5A9DFD3E"/>
    <w:rsid w:val="5DDDADDA"/>
    <w:rsid w:val="5E1FC3AA"/>
    <w:rsid w:val="5E6F228D"/>
    <w:rsid w:val="66A15E91"/>
    <w:rsid w:val="7667CF6E"/>
    <w:rsid w:val="7E529703"/>
    <w:rsid w:val="7ED0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247DA"/>
  <w15:chartTrackingRefBased/>
  <w15:docId w15:val="{F32241E3-20F2-4E4A-A143-999F2CBE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BB3"/>
    <w:pPr>
      <w:tabs>
        <w:tab w:val="center" w:pos="4680"/>
        <w:tab w:val="right" w:pos="9360"/>
      </w:tabs>
    </w:pPr>
  </w:style>
  <w:style w:type="character" w:customStyle="1" w:styleId="HeaderChar">
    <w:name w:val="Header Char"/>
    <w:link w:val="Header"/>
    <w:uiPriority w:val="99"/>
    <w:rsid w:val="00E44BB3"/>
    <w:rPr>
      <w:sz w:val="22"/>
      <w:szCs w:val="22"/>
    </w:rPr>
  </w:style>
  <w:style w:type="paragraph" w:styleId="Footer">
    <w:name w:val="footer"/>
    <w:basedOn w:val="Normal"/>
    <w:link w:val="FooterChar"/>
    <w:uiPriority w:val="99"/>
    <w:unhideWhenUsed/>
    <w:rsid w:val="00E44BB3"/>
    <w:pPr>
      <w:tabs>
        <w:tab w:val="center" w:pos="4680"/>
        <w:tab w:val="right" w:pos="9360"/>
      </w:tabs>
    </w:pPr>
  </w:style>
  <w:style w:type="character" w:customStyle="1" w:styleId="FooterChar">
    <w:name w:val="Footer Char"/>
    <w:link w:val="Footer"/>
    <w:uiPriority w:val="99"/>
    <w:rsid w:val="00E44BB3"/>
    <w:rPr>
      <w:sz w:val="22"/>
      <w:szCs w:val="22"/>
    </w:rPr>
  </w:style>
  <w:style w:type="paragraph" w:customStyle="1" w:styleId="Default">
    <w:name w:val="Default"/>
    <w:rsid w:val="00E44BB3"/>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142124"/>
    <w:rPr>
      <w:sz w:val="22"/>
      <w:szCs w:val="22"/>
    </w:rPr>
  </w:style>
  <w:style w:type="table" w:styleId="TableGrid">
    <w:name w:val="Table Grid"/>
    <w:basedOn w:val="TableNormal"/>
    <w:uiPriority w:val="39"/>
    <w:rsid w:val="00173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DAC"/>
    <w:rPr>
      <w:rFonts w:ascii="Tahoma" w:hAnsi="Tahoma" w:cs="Tahoma"/>
      <w:sz w:val="16"/>
      <w:szCs w:val="16"/>
    </w:rPr>
  </w:style>
  <w:style w:type="character" w:customStyle="1" w:styleId="BalloonTextChar">
    <w:name w:val="Balloon Text Char"/>
    <w:link w:val="BalloonText"/>
    <w:uiPriority w:val="99"/>
    <w:semiHidden/>
    <w:rsid w:val="00E51DAC"/>
    <w:rPr>
      <w:rFonts w:ascii="Tahoma" w:hAnsi="Tahoma" w:cs="Tahoma"/>
      <w:sz w:val="16"/>
      <w:szCs w:val="16"/>
    </w:rPr>
  </w:style>
  <w:style w:type="paragraph" w:styleId="ListParagraph">
    <w:name w:val="List Paragraph"/>
    <w:basedOn w:val="Normal"/>
    <w:uiPriority w:val="34"/>
    <w:qFormat/>
    <w:rsid w:val="00891735"/>
    <w:pPr>
      <w:ind w:left="720"/>
    </w:pPr>
  </w:style>
  <w:style w:type="paragraph" w:styleId="BodyText">
    <w:name w:val="Body Text"/>
    <w:basedOn w:val="Normal"/>
    <w:link w:val="BodyTextChar"/>
    <w:rsid w:val="002E4A3C"/>
    <w:rPr>
      <w:rFonts w:ascii="Times New Roman" w:eastAsia="Times New Roman" w:hAnsi="Times New Roman"/>
      <w:b/>
      <w:bCs/>
      <w:sz w:val="24"/>
      <w:szCs w:val="24"/>
    </w:rPr>
  </w:style>
  <w:style w:type="character" w:customStyle="1" w:styleId="BodyTextChar">
    <w:name w:val="Body Text Char"/>
    <w:link w:val="BodyText"/>
    <w:rsid w:val="002E4A3C"/>
    <w:rPr>
      <w:rFonts w:ascii="Times New Roman" w:eastAsia="Times New Roman" w:hAnsi="Times New Roman"/>
      <w:b/>
      <w:bCs/>
      <w:sz w:val="24"/>
      <w:szCs w:val="24"/>
    </w:rPr>
  </w:style>
  <w:style w:type="character" w:customStyle="1" w:styleId="apple-style-span">
    <w:name w:val="apple-style-span"/>
    <w:rsid w:val="004777BB"/>
  </w:style>
  <w:style w:type="character" w:customStyle="1" w:styleId="grame">
    <w:name w:val="grame"/>
    <w:rsid w:val="00DB34D5"/>
  </w:style>
  <w:style w:type="character" w:styleId="Hyperlink">
    <w:name w:val="Hyperlink"/>
    <w:uiPriority w:val="99"/>
    <w:unhideWhenUsed/>
    <w:rsid w:val="008F1C61"/>
    <w:rPr>
      <w:color w:val="0563C1"/>
      <w:u w:val="single"/>
    </w:rPr>
  </w:style>
  <w:style w:type="character" w:styleId="FollowedHyperlink">
    <w:name w:val="FollowedHyperlink"/>
    <w:uiPriority w:val="99"/>
    <w:semiHidden/>
    <w:unhideWhenUsed/>
    <w:rsid w:val="00E61E13"/>
    <w:rPr>
      <w:color w:val="954F72"/>
      <w:u w:val="single"/>
    </w:rPr>
  </w:style>
  <w:style w:type="character" w:styleId="CommentReference">
    <w:name w:val="annotation reference"/>
    <w:uiPriority w:val="99"/>
    <w:semiHidden/>
    <w:unhideWhenUsed/>
    <w:rsid w:val="007636A9"/>
    <w:rPr>
      <w:sz w:val="16"/>
      <w:szCs w:val="16"/>
    </w:rPr>
  </w:style>
  <w:style w:type="paragraph" w:styleId="CommentText">
    <w:name w:val="annotation text"/>
    <w:basedOn w:val="Normal"/>
    <w:link w:val="CommentTextChar"/>
    <w:uiPriority w:val="99"/>
    <w:semiHidden/>
    <w:unhideWhenUsed/>
    <w:rsid w:val="007636A9"/>
    <w:rPr>
      <w:sz w:val="20"/>
      <w:szCs w:val="20"/>
    </w:rPr>
  </w:style>
  <w:style w:type="character" w:customStyle="1" w:styleId="CommentTextChar">
    <w:name w:val="Comment Text Char"/>
    <w:basedOn w:val="DefaultParagraphFont"/>
    <w:link w:val="CommentText"/>
    <w:uiPriority w:val="99"/>
    <w:semiHidden/>
    <w:rsid w:val="007636A9"/>
  </w:style>
  <w:style w:type="paragraph" w:styleId="CommentSubject">
    <w:name w:val="annotation subject"/>
    <w:basedOn w:val="CommentText"/>
    <w:next w:val="CommentText"/>
    <w:link w:val="CommentSubjectChar"/>
    <w:uiPriority w:val="99"/>
    <w:semiHidden/>
    <w:unhideWhenUsed/>
    <w:rsid w:val="007636A9"/>
    <w:rPr>
      <w:b/>
      <w:bCs/>
    </w:rPr>
  </w:style>
  <w:style w:type="character" w:customStyle="1" w:styleId="CommentSubjectChar">
    <w:name w:val="Comment Subject Char"/>
    <w:link w:val="CommentSubject"/>
    <w:uiPriority w:val="99"/>
    <w:semiHidden/>
    <w:rsid w:val="00763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3760">
      <w:bodyDiv w:val="1"/>
      <w:marLeft w:val="0"/>
      <w:marRight w:val="0"/>
      <w:marTop w:val="0"/>
      <w:marBottom w:val="0"/>
      <w:divBdr>
        <w:top w:val="none" w:sz="0" w:space="0" w:color="auto"/>
        <w:left w:val="none" w:sz="0" w:space="0" w:color="auto"/>
        <w:bottom w:val="none" w:sz="0" w:space="0" w:color="auto"/>
        <w:right w:val="none" w:sz="0" w:space="0" w:color="auto"/>
      </w:divBdr>
    </w:div>
    <w:div w:id="2024822951">
      <w:bodyDiv w:val="1"/>
      <w:marLeft w:val="0"/>
      <w:marRight w:val="0"/>
      <w:marTop w:val="0"/>
      <w:marBottom w:val="0"/>
      <w:divBdr>
        <w:top w:val="none" w:sz="0" w:space="0" w:color="auto"/>
        <w:left w:val="none" w:sz="0" w:space="0" w:color="auto"/>
        <w:bottom w:val="none" w:sz="0" w:space="0" w:color="auto"/>
        <w:right w:val="none" w:sz="0" w:space="0" w:color="auto"/>
      </w:divBdr>
      <w:divsChild>
        <w:div w:id="749817451">
          <w:marLeft w:val="0"/>
          <w:marRight w:val="0"/>
          <w:marTop w:val="0"/>
          <w:marBottom w:val="0"/>
          <w:divBdr>
            <w:top w:val="none" w:sz="0" w:space="0" w:color="auto"/>
            <w:left w:val="none" w:sz="0" w:space="0" w:color="auto"/>
            <w:bottom w:val="none" w:sz="0" w:space="0" w:color="auto"/>
            <w:right w:val="none" w:sz="0" w:space="0" w:color="auto"/>
          </w:divBdr>
          <w:divsChild>
            <w:div w:id="1925337058">
              <w:marLeft w:val="0"/>
              <w:marRight w:val="0"/>
              <w:marTop w:val="0"/>
              <w:marBottom w:val="0"/>
              <w:divBdr>
                <w:top w:val="none" w:sz="0" w:space="0" w:color="auto"/>
                <w:left w:val="none" w:sz="0" w:space="0" w:color="auto"/>
                <w:bottom w:val="none" w:sz="0" w:space="0" w:color="auto"/>
                <w:right w:val="none" w:sz="0" w:space="0" w:color="auto"/>
              </w:divBdr>
              <w:divsChild>
                <w:div w:id="1361591677">
                  <w:marLeft w:val="0"/>
                  <w:marRight w:val="0"/>
                  <w:marTop w:val="0"/>
                  <w:marBottom w:val="0"/>
                  <w:divBdr>
                    <w:top w:val="none" w:sz="0" w:space="0" w:color="auto"/>
                    <w:left w:val="none" w:sz="0" w:space="0" w:color="auto"/>
                    <w:bottom w:val="none" w:sz="0" w:space="0" w:color="auto"/>
                    <w:right w:val="none" w:sz="0" w:space="0" w:color="auto"/>
                  </w:divBdr>
                  <w:divsChild>
                    <w:div w:id="2147117172">
                      <w:marLeft w:val="0"/>
                      <w:marRight w:val="0"/>
                      <w:marTop w:val="0"/>
                      <w:marBottom w:val="0"/>
                      <w:divBdr>
                        <w:top w:val="none" w:sz="0" w:space="0" w:color="auto"/>
                        <w:left w:val="none" w:sz="0" w:space="0" w:color="auto"/>
                        <w:bottom w:val="none" w:sz="0" w:space="0" w:color="auto"/>
                        <w:right w:val="none" w:sz="0" w:space="0" w:color="auto"/>
                      </w:divBdr>
                      <w:divsChild>
                        <w:div w:id="811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edu/compliance/hipa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hs.gov/ohrp/regulations-and-policy/guidance/categories-of-research-expedited-review-procedure-1998/index.html" TargetMode="External"/><Relationship Id="rId12" Type="http://schemas.openxmlformats.org/officeDocument/2006/relationships/hyperlink" Target="https://www.kent.edu/compliance/campus-activities-involving-min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edu/registrar/ferp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ent.edu/compliance/biological-safety" TargetMode="External"/><Relationship Id="rId4" Type="http://schemas.openxmlformats.org/officeDocument/2006/relationships/webSettings" Target="webSettings.xml"/><Relationship Id="rId9" Type="http://schemas.openxmlformats.org/officeDocument/2006/relationships/hyperlink" Target="https://www.kent.edu/compliance/hipa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ashko\Desktop\CORB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CORBEL</Template>
  <TotalTime>4</TotalTime>
  <Pages>1</Pages>
  <Words>1935</Words>
  <Characters>11033</Characters>
  <Application>Microsoft Office Word</Application>
  <DocSecurity>0</DocSecurity>
  <Lines>91</Lines>
  <Paragraphs>25</Paragraphs>
  <ScaleCrop>false</ScaleCrop>
  <Company>Kent State University</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Washko, Paulette</dc:creator>
  <cp:keywords/>
  <cp:lastModifiedBy>McCreary, Kevin</cp:lastModifiedBy>
  <cp:revision>5</cp:revision>
  <cp:lastPrinted>2013-05-10T13:47:00Z</cp:lastPrinted>
  <dcterms:created xsi:type="dcterms:W3CDTF">2021-09-22T14:37:00Z</dcterms:created>
  <dcterms:modified xsi:type="dcterms:W3CDTF">2022-10-31T13:50:00Z</dcterms:modified>
</cp:coreProperties>
</file>