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83D1F" w14:textId="77777777" w:rsidR="00BD74B6" w:rsidRPr="007E7607" w:rsidRDefault="00BD74B6" w:rsidP="00BD74B6">
      <w:pPr>
        <w:autoSpaceDE w:val="0"/>
        <w:autoSpaceDN w:val="0"/>
        <w:adjustRightInd w:val="0"/>
        <w:spacing w:after="0" w:line="240" w:lineRule="auto"/>
        <w:rPr>
          <w:rFonts w:ascii="Times New Roman" w:hAnsi="Times New Roman" w:cs="Times New Roman"/>
          <w:sz w:val="40"/>
          <w:szCs w:val="40"/>
        </w:rPr>
      </w:pPr>
      <w:r w:rsidRPr="007E7607">
        <w:rPr>
          <w:rFonts w:ascii="Times New Roman" w:hAnsi="Times New Roman" w:cs="Times New Roman"/>
          <w:sz w:val="40"/>
          <w:szCs w:val="40"/>
        </w:rPr>
        <w:t xml:space="preserve">Title: </w:t>
      </w:r>
      <w:r w:rsidRPr="007E7607">
        <w:rPr>
          <w:rFonts w:ascii="Times New Roman" w:hAnsi="Times New Roman" w:cs="Times New Roman"/>
          <w:bCs/>
          <w:sz w:val="40"/>
          <w:szCs w:val="40"/>
        </w:rPr>
        <w:t>Biocompat</w:t>
      </w:r>
      <w:r w:rsidR="00AA7A24">
        <w:rPr>
          <w:rFonts w:ascii="Times New Roman" w:hAnsi="Times New Roman" w:cs="Times New Roman"/>
          <w:bCs/>
          <w:sz w:val="40"/>
          <w:szCs w:val="40"/>
        </w:rPr>
        <w:t>ible smart responsive scaffold and</w:t>
      </w:r>
      <w:r w:rsidRPr="007E7607">
        <w:rPr>
          <w:rFonts w:ascii="Times New Roman" w:hAnsi="Times New Roman" w:cs="Times New Roman"/>
          <w:bCs/>
          <w:sz w:val="40"/>
          <w:szCs w:val="40"/>
        </w:rPr>
        <w:t xml:space="preserve"> polymer foams</w:t>
      </w:r>
    </w:p>
    <w:p w14:paraId="754DAEFE" w14:textId="77777777" w:rsidR="00BD74B6" w:rsidRPr="007E7607" w:rsidRDefault="00BD74B6" w:rsidP="00BD74B6">
      <w:pPr>
        <w:spacing w:after="0" w:line="200" w:lineRule="exact"/>
        <w:rPr>
          <w:sz w:val="20"/>
          <w:szCs w:val="20"/>
        </w:rPr>
      </w:pPr>
    </w:p>
    <w:p w14:paraId="403F3338" w14:textId="77777777" w:rsidR="00BD74B6" w:rsidRPr="00D234B3" w:rsidRDefault="00AA7A24" w:rsidP="00BD74B6">
      <w:pPr>
        <w:rPr>
          <w:rFonts w:ascii="Georgia" w:hAnsi="Georgia"/>
        </w:rPr>
      </w:pPr>
      <w:r>
        <w:rPr>
          <w:rFonts w:ascii="Georgia" w:hAnsi="Georgia"/>
        </w:rPr>
        <w:t>KSU.430 and</w:t>
      </w:r>
      <w:r w:rsidR="00BD74B6" w:rsidRPr="00D234B3">
        <w:rPr>
          <w:rFonts w:ascii="Georgia" w:hAnsi="Georgia"/>
        </w:rPr>
        <w:t xml:space="preserve"> KSU.452</w:t>
      </w:r>
    </w:p>
    <w:p w14:paraId="539CC961" w14:textId="77777777" w:rsidR="00BD74B6" w:rsidRPr="007E7607" w:rsidRDefault="00BD74B6" w:rsidP="00BD74B6">
      <w:pPr>
        <w:spacing w:after="0" w:line="200" w:lineRule="exact"/>
        <w:rPr>
          <w:sz w:val="20"/>
          <w:szCs w:val="20"/>
        </w:rPr>
      </w:pPr>
    </w:p>
    <w:p w14:paraId="40E66681" w14:textId="77777777" w:rsidR="00BD74B6" w:rsidRPr="007E7607" w:rsidRDefault="00BD74B6" w:rsidP="00BD74B6">
      <w:pPr>
        <w:spacing w:before="15" w:after="0" w:line="240" w:lineRule="exact"/>
        <w:rPr>
          <w:sz w:val="24"/>
          <w:szCs w:val="24"/>
        </w:rPr>
      </w:pPr>
    </w:p>
    <w:p w14:paraId="61F73BA7" w14:textId="77777777" w:rsidR="00BD74B6" w:rsidRPr="007E7607" w:rsidRDefault="00BD74B6" w:rsidP="00BD74B6">
      <w:pPr>
        <w:autoSpaceDE w:val="0"/>
        <w:autoSpaceDN w:val="0"/>
        <w:adjustRightInd w:val="0"/>
        <w:spacing w:after="0" w:line="240" w:lineRule="auto"/>
        <w:rPr>
          <w:rFonts w:cs="Times New Roman"/>
        </w:rPr>
      </w:pPr>
      <w:r w:rsidRPr="007E7607">
        <w:rPr>
          <w:rFonts w:ascii="Times New Roman" w:hAnsi="Times New Roman" w:cs="Times New Roman"/>
        </w:rPr>
        <w:t xml:space="preserve">Inventor: </w:t>
      </w:r>
      <w:r w:rsidRPr="007E7607">
        <w:rPr>
          <w:rFonts w:cs="Times New Roman"/>
        </w:rPr>
        <w:t xml:space="preserve">Elda Hegmann, Torsten Hegmann and Yunxiang Gao </w:t>
      </w:r>
    </w:p>
    <w:p w14:paraId="64B858DF" w14:textId="77777777" w:rsidR="00BD74B6" w:rsidRPr="007E7607" w:rsidRDefault="00BD74B6" w:rsidP="00BD74B6">
      <w:pPr>
        <w:autoSpaceDE w:val="0"/>
        <w:autoSpaceDN w:val="0"/>
        <w:adjustRightInd w:val="0"/>
        <w:spacing w:after="0" w:line="240" w:lineRule="auto"/>
        <w:rPr>
          <w:rFonts w:cs="Times New Roman"/>
        </w:rPr>
      </w:pPr>
    </w:p>
    <w:p w14:paraId="0F364FBC" w14:textId="77777777" w:rsidR="00BD74B6" w:rsidRPr="007E7607" w:rsidRDefault="00BD74B6" w:rsidP="00BD74B6">
      <w:pPr>
        <w:autoSpaceDE w:val="0"/>
        <w:autoSpaceDN w:val="0"/>
        <w:adjustRightInd w:val="0"/>
        <w:spacing w:after="0" w:line="240" w:lineRule="auto"/>
        <w:rPr>
          <w:rFonts w:ascii="Times New Roman" w:hAnsi="Times New Roman" w:cs="Times New Roman"/>
          <w:u w:val="single"/>
        </w:rPr>
      </w:pPr>
      <w:r w:rsidRPr="007E7607">
        <w:rPr>
          <w:rFonts w:ascii="Times New Roman" w:hAnsi="Times New Roman" w:cs="Times New Roman"/>
          <w:u w:val="single"/>
        </w:rPr>
        <w:t xml:space="preserve">Abstract: </w:t>
      </w:r>
    </w:p>
    <w:p w14:paraId="319DA847" w14:textId="77777777" w:rsidR="00BD74B6" w:rsidRPr="007E7607" w:rsidRDefault="00BD74B6" w:rsidP="00BD74B6">
      <w:pPr>
        <w:autoSpaceDE w:val="0"/>
        <w:autoSpaceDN w:val="0"/>
        <w:adjustRightInd w:val="0"/>
        <w:spacing w:after="0" w:line="240" w:lineRule="auto"/>
        <w:rPr>
          <w:rFonts w:ascii="Times New Roman" w:hAnsi="Times New Roman" w:cs="Times New Roman"/>
        </w:rPr>
      </w:pPr>
    </w:p>
    <w:p w14:paraId="084D827D" w14:textId="77777777" w:rsidR="00BD74B6" w:rsidRPr="007E7607" w:rsidRDefault="00BD74B6" w:rsidP="00BD74B6">
      <w:pPr>
        <w:autoSpaceDE w:val="0"/>
        <w:autoSpaceDN w:val="0"/>
        <w:adjustRightInd w:val="0"/>
        <w:spacing w:after="0" w:line="240" w:lineRule="auto"/>
        <w:jc w:val="both"/>
        <w:rPr>
          <w:rFonts w:ascii="Times New Roman" w:hAnsi="Times New Roman" w:cs="Times New Roman"/>
        </w:rPr>
      </w:pPr>
      <w:r w:rsidRPr="007E7607">
        <w:rPr>
          <w:rFonts w:ascii="Times New Roman" w:hAnsi="Times New Roman" w:cs="Times New Roman"/>
        </w:rPr>
        <w:t>The inventors of this technology have developed biocompatible controlled biodegradable smart responsive scaffold (SRS) materials that enhance attachment and viability of cells, i.e. actively guiding their expansion, proliferation</w:t>
      </w:r>
      <w:r>
        <w:rPr>
          <w:rFonts w:ascii="Times New Roman" w:hAnsi="Times New Roman" w:cs="Times New Roman"/>
        </w:rPr>
        <w:t>,</w:t>
      </w:r>
      <w:r w:rsidRPr="007E7607">
        <w:rPr>
          <w:rFonts w:ascii="Times New Roman" w:hAnsi="Times New Roman" w:cs="Times New Roman"/>
        </w:rPr>
        <w:t xml:space="preserve"> and in some cases</w:t>
      </w:r>
      <w:r>
        <w:rPr>
          <w:rFonts w:ascii="Times New Roman" w:hAnsi="Times New Roman" w:cs="Times New Roman"/>
        </w:rPr>
        <w:t>,</w:t>
      </w:r>
      <w:r w:rsidRPr="007E7607">
        <w:rPr>
          <w:rFonts w:ascii="Times New Roman" w:hAnsi="Times New Roman" w:cs="Times New Roman"/>
        </w:rPr>
        <w:t xml:space="preserve"> differentiation, while increasing their biomechanical functionality, an important key issue for tissue regeneration. Chemically built-in functionality in these biodegradable SRS materials is achieved by varying structural functionalization with biocompatible liquid crystal motifs and general polymer composition, allowing for regulation and alteration of tensile strength, surface ordering, bioadhesion and biodegradability, bulk liquid crystal phase behavior, porosity and cell response to external stimuli. Liquid crystal modification </w:t>
      </w:r>
      <w:bookmarkStart w:id="0" w:name="_GoBack"/>
      <w:bookmarkEnd w:id="0"/>
      <w:r w:rsidRPr="007E7607">
        <w:rPr>
          <w:rFonts w:ascii="Times New Roman" w:hAnsi="Times New Roman" w:cs="Times New Roman"/>
        </w:rPr>
        <w:t xml:space="preserve">of such polymeric scaffolds is an ideal tool to induce macroscopic ordering events through external stimuli. None of said approaches have been demonstrated in prior art and the use of biocompatible scaffolds that respond to a variety of external stimuli resulting in a macroscopic ordering event is a novel aspect addressed through this invention. These scaffolds, made of FDA-approved precursor materials, have been successfully tested with several representative cells lines. The pore size of the elastomers has been increased </w:t>
      </w:r>
      <w:r>
        <w:rPr>
          <w:rFonts w:ascii="Times New Roman" w:hAnsi="Times New Roman" w:cs="Times New Roman"/>
        </w:rPr>
        <w:t xml:space="preserve">in order </w:t>
      </w:r>
      <w:r w:rsidRPr="007E7607">
        <w:rPr>
          <w:rFonts w:ascii="Times New Roman" w:hAnsi="Times New Roman" w:cs="Times New Roman"/>
        </w:rPr>
        <w:t>to use them for a wide selection of cells</w:t>
      </w:r>
      <w:r>
        <w:rPr>
          <w:rFonts w:ascii="Times New Roman" w:hAnsi="Times New Roman" w:cs="Times New Roman"/>
        </w:rPr>
        <w:t>,</w:t>
      </w:r>
      <w:r w:rsidRPr="007E7607">
        <w:rPr>
          <w:rFonts w:ascii="Times New Roman" w:hAnsi="Times New Roman" w:cs="Times New Roman"/>
        </w:rPr>
        <w:t xml:space="preserve"> as well as permitting the incorporation of growth factors, when needed, for enhancing cell viability and proliferation. The inventors are now proposing a new method for pore size preparation in the form of fully interconnected channels that</w:t>
      </w:r>
      <w:r>
        <w:rPr>
          <w:rFonts w:ascii="Times New Roman" w:hAnsi="Times New Roman" w:cs="Times New Roman"/>
        </w:rPr>
        <w:t xml:space="preserve"> </w:t>
      </w:r>
      <w:r w:rsidRPr="007E7607">
        <w:rPr>
          <w:rFonts w:ascii="Times New Roman" w:hAnsi="Times New Roman" w:cs="Times New Roman"/>
        </w:rPr>
        <w:t xml:space="preserve">allow for </w:t>
      </w:r>
      <w:r>
        <w:rPr>
          <w:rFonts w:ascii="Times New Roman" w:hAnsi="Times New Roman" w:cs="Times New Roman"/>
        </w:rPr>
        <w:t xml:space="preserve">the </w:t>
      </w:r>
      <w:r w:rsidRPr="007E7607">
        <w:rPr>
          <w:rFonts w:ascii="Times New Roman" w:hAnsi="Times New Roman" w:cs="Times New Roman"/>
        </w:rPr>
        <w:t>holding a desirable load (e.g., a dye), which will leach out under pressure or encapsulate a temperature-sensitive liquid crystal mixture (e.g., cholesteric temperature sensors).</w:t>
      </w:r>
    </w:p>
    <w:p w14:paraId="2093AEF5" w14:textId="77777777" w:rsidR="00BD74B6" w:rsidRPr="007E7607" w:rsidRDefault="00BD74B6" w:rsidP="00BD74B6">
      <w:pPr>
        <w:spacing w:before="18" w:after="0" w:line="200" w:lineRule="exact"/>
        <w:rPr>
          <w:sz w:val="20"/>
          <w:szCs w:val="20"/>
        </w:rPr>
      </w:pPr>
    </w:p>
    <w:p w14:paraId="5CABB3A9" w14:textId="77777777" w:rsidR="00BD74B6" w:rsidRPr="007E7607" w:rsidRDefault="00BD74B6" w:rsidP="00BD74B6">
      <w:pPr>
        <w:spacing w:after="0"/>
        <w:sectPr w:rsidR="00BD74B6" w:rsidRPr="007E7607">
          <w:type w:val="continuous"/>
          <w:pgSz w:w="12240" w:h="15840"/>
          <w:pgMar w:top="620" w:right="980" w:bottom="280" w:left="980" w:header="720" w:footer="720" w:gutter="0"/>
          <w:cols w:space="720"/>
        </w:sectPr>
      </w:pPr>
    </w:p>
    <w:p w14:paraId="42183F40" w14:textId="77777777" w:rsidR="00BD74B6" w:rsidRPr="007E7607" w:rsidRDefault="00BD74B6" w:rsidP="00BD74B6">
      <w:pPr>
        <w:autoSpaceDE w:val="0"/>
        <w:autoSpaceDN w:val="0"/>
        <w:adjustRightInd w:val="0"/>
        <w:spacing w:after="0" w:line="240" w:lineRule="auto"/>
        <w:rPr>
          <w:rFonts w:ascii="Times New Roman" w:hAnsi="Times New Roman" w:cs="Times New Roman"/>
          <w:u w:val="single"/>
        </w:rPr>
      </w:pPr>
      <w:r w:rsidRPr="007E7607">
        <w:rPr>
          <w:rFonts w:ascii="Times New Roman" w:hAnsi="Times New Roman" w:cs="Times New Roman"/>
          <w:u w:val="single"/>
        </w:rPr>
        <w:t>Applications:</w:t>
      </w:r>
    </w:p>
    <w:p w14:paraId="373F4075" w14:textId="77777777" w:rsidR="00BD74B6" w:rsidRPr="007E7607" w:rsidRDefault="00BD74B6" w:rsidP="00BD74B6">
      <w:pPr>
        <w:autoSpaceDE w:val="0"/>
        <w:autoSpaceDN w:val="0"/>
        <w:adjustRightInd w:val="0"/>
        <w:spacing w:after="0" w:line="240" w:lineRule="auto"/>
        <w:rPr>
          <w:rFonts w:ascii="Times New Roman" w:hAnsi="Times New Roman" w:cs="Times New Roman"/>
        </w:rPr>
      </w:pPr>
    </w:p>
    <w:p w14:paraId="1098A9EA" w14:textId="77777777" w:rsidR="00BD74B6" w:rsidRPr="007E7607" w:rsidRDefault="00BD74B6" w:rsidP="00BD74B6">
      <w:pPr>
        <w:pStyle w:val="ListParagraph"/>
        <w:numPr>
          <w:ilvl w:val="0"/>
          <w:numId w:val="13"/>
        </w:numPr>
        <w:autoSpaceDE w:val="0"/>
        <w:autoSpaceDN w:val="0"/>
        <w:adjustRightInd w:val="0"/>
      </w:pPr>
      <w:r w:rsidRPr="007E7607">
        <w:rPr>
          <w:sz w:val="22"/>
          <w:szCs w:val="22"/>
        </w:rPr>
        <w:t>The use of metal foam as template is novel for generating artificial muscles, tunable liquid crystal lasers, actuators and sensors</w:t>
      </w:r>
    </w:p>
    <w:p w14:paraId="4BBB2E94" w14:textId="77777777" w:rsidR="00BD74B6" w:rsidRPr="007E7607" w:rsidRDefault="00BD74B6" w:rsidP="00BD74B6">
      <w:pPr>
        <w:spacing w:after="0" w:line="249" w:lineRule="auto"/>
        <w:ind w:left="100" w:right="-57"/>
        <w:rPr>
          <w:sz w:val="20"/>
          <w:szCs w:val="20"/>
        </w:rPr>
      </w:pPr>
      <w:r w:rsidRPr="007E7607">
        <w:rPr>
          <w:noProof/>
        </w:rPr>
        <w:drawing>
          <wp:inline distT="0" distB="0" distL="0" distR="0" wp14:anchorId="5C88E52A" wp14:editId="405C227C">
            <wp:extent cx="2806700" cy="2127962"/>
            <wp:effectExtent l="0" t="0" r="0" b="5715"/>
            <wp:docPr id="23" name="Picture 23" descr="Upper left image: Nickel foam template &#10;The rest of the images (upper right and bottom two): SBC1-LC elastomer showing fully interconnected channels with an average pore size of 100 and 150 µm at intersection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ickel foam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6700" cy="2127962"/>
                    </a:xfrm>
                    <a:prstGeom prst="rect">
                      <a:avLst/>
                    </a:prstGeom>
                    <a:noFill/>
                    <a:ln>
                      <a:noFill/>
                    </a:ln>
                  </pic:spPr>
                </pic:pic>
              </a:graphicData>
            </a:graphic>
          </wp:inline>
        </w:drawing>
      </w:r>
    </w:p>
    <w:p w14:paraId="66F6C2EC" w14:textId="77777777" w:rsidR="00BD74B6" w:rsidRPr="007E7607" w:rsidRDefault="00BD74B6" w:rsidP="00BD74B6">
      <w:pPr>
        <w:spacing w:before="4" w:after="0" w:line="200" w:lineRule="exact"/>
        <w:rPr>
          <w:sz w:val="20"/>
          <w:szCs w:val="20"/>
        </w:rPr>
      </w:pPr>
    </w:p>
    <w:p w14:paraId="23A0CBCD" w14:textId="77777777" w:rsidR="00BD74B6" w:rsidRPr="007E7607" w:rsidRDefault="00BD74B6" w:rsidP="00BD74B6">
      <w:pPr>
        <w:spacing w:after="0" w:line="240" w:lineRule="auto"/>
        <w:ind w:right="-20"/>
        <w:sectPr w:rsidR="00BD74B6" w:rsidRPr="007E7607">
          <w:type w:val="continuous"/>
          <w:pgSz w:w="12240" w:h="15840"/>
          <w:pgMar w:top="620" w:right="980" w:bottom="280" w:left="980" w:header="720" w:footer="720" w:gutter="0"/>
          <w:cols w:num="2" w:space="720" w:equalWidth="0">
            <w:col w:w="4765" w:space="1095"/>
            <w:col w:w="4420"/>
          </w:cols>
        </w:sectPr>
      </w:pPr>
      <w:r w:rsidRPr="007E7607">
        <w:rPr>
          <w:rFonts w:ascii="Georgia" w:eastAsia="Georgia" w:hAnsi="Georgia" w:cs="Georgia"/>
          <w:sz w:val="16"/>
          <w:szCs w:val="16"/>
        </w:rPr>
        <w:t xml:space="preserve">FIG- </w:t>
      </w:r>
      <w:r w:rsidRPr="007E7607">
        <w:rPr>
          <w:rFonts w:ascii="Georgia" w:hAnsi="Georgia"/>
          <w:sz w:val="16"/>
          <w:szCs w:val="16"/>
        </w:rPr>
        <w:t>SEM images: (a) Nickel foam template and (b-d) SBC</w:t>
      </w:r>
      <w:r w:rsidRPr="007E7607">
        <w:rPr>
          <w:rFonts w:ascii="Georgia" w:hAnsi="Georgia"/>
          <w:sz w:val="16"/>
          <w:szCs w:val="16"/>
          <w:vertAlign w:val="subscript"/>
        </w:rPr>
        <w:t>1</w:t>
      </w:r>
      <w:r w:rsidRPr="007E7607">
        <w:rPr>
          <w:rFonts w:ascii="Georgia" w:hAnsi="Georgia"/>
          <w:sz w:val="16"/>
          <w:szCs w:val="16"/>
        </w:rPr>
        <w:t xml:space="preserve">-LC elastomer showing fully interconnected channels with an average pore size of 100 and 150 </w:t>
      </w:r>
      <w:r w:rsidRPr="007E7607">
        <w:rPr>
          <w:rFonts w:ascii="Georgia" w:hAnsi="Georgia" w:cs="Helvetica Neue"/>
          <w:sz w:val="16"/>
          <w:szCs w:val="16"/>
        </w:rPr>
        <w:t>µm</w:t>
      </w:r>
      <w:r w:rsidRPr="007E7607">
        <w:rPr>
          <w:rFonts w:ascii="Georgia" w:hAnsi="Georgia"/>
          <w:sz w:val="16"/>
          <w:szCs w:val="16"/>
        </w:rPr>
        <w:t xml:space="preserve"> at intersections.</w:t>
      </w:r>
    </w:p>
    <w:p w14:paraId="6AB738CF" w14:textId="77777777" w:rsidR="00BD74B6" w:rsidRPr="007E7607" w:rsidRDefault="00BD74B6" w:rsidP="00BD74B6">
      <w:pPr>
        <w:autoSpaceDE w:val="0"/>
        <w:autoSpaceDN w:val="0"/>
        <w:adjustRightInd w:val="0"/>
        <w:spacing w:after="0" w:line="240" w:lineRule="auto"/>
        <w:rPr>
          <w:rFonts w:ascii="Times New Roman" w:hAnsi="Times New Roman" w:cs="Times New Roman"/>
          <w:u w:val="single"/>
        </w:rPr>
      </w:pPr>
      <w:r w:rsidRPr="007E7607">
        <w:rPr>
          <w:rFonts w:ascii="Times New Roman" w:hAnsi="Times New Roman" w:cs="Times New Roman"/>
          <w:u w:val="single"/>
        </w:rPr>
        <w:t>Advantages:</w:t>
      </w:r>
    </w:p>
    <w:p w14:paraId="120B4607" w14:textId="77777777" w:rsidR="00BD74B6" w:rsidRPr="007E7607" w:rsidRDefault="00BD74B6" w:rsidP="00BD74B6">
      <w:pPr>
        <w:autoSpaceDE w:val="0"/>
        <w:autoSpaceDN w:val="0"/>
        <w:adjustRightInd w:val="0"/>
        <w:spacing w:after="0" w:line="240" w:lineRule="auto"/>
        <w:jc w:val="both"/>
        <w:rPr>
          <w:rFonts w:ascii="Times New Roman" w:hAnsi="Times New Roman" w:cs="Times New Roman"/>
          <w:u w:val="single"/>
        </w:rPr>
      </w:pPr>
    </w:p>
    <w:p w14:paraId="558A3270" w14:textId="77777777" w:rsidR="00BD74B6" w:rsidRPr="007E7607" w:rsidRDefault="00BD74B6" w:rsidP="00BD74B6">
      <w:pPr>
        <w:pStyle w:val="ListParagraph"/>
        <w:numPr>
          <w:ilvl w:val="0"/>
          <w:numId w:val="13"/>
        </w:numPr>
        <w:autoSpaceDE w:val="0"/>
        <w:autoSpaceDN w:val="0"/>
        <w:adjustRightInd w:val="0"/>
        <w:rPr>
          <w:rFonts w:eastAsia="HiddenHorzOCR"/>
          <w:sz w:val="22"/>
          <w:szCs w:val="22"/>
        </w:rPr>
      </w:pPr>
      <w:r w:rsidRPr="007E7607">
        <w:rPr>
          <w:rFonts w:eastAsia="HiddenHorzOCR"/>
          <w:sz w:val="22"/>
          <w:szCs w:val="22"/>
        </w:rPr>
        <w:t>Biocompatible, biodegradable elastomer</w:t>
      </w:r>
    </w:p>
    <w:p w14:paraId="31BDDFDC" w14:textId="77777777" w:rsidR="00BD74B6" w:rsidRPr="007E7607" w:rsidRDefault="00BD74B6" w:rsidP="00BD74B6">
      <w:pPr>
        <w:pStyle w:val="ListParagraph"/>
        <w:numPr>
          <w:ilvl w:val="0"/>
          <w:numId w:val="13"/>
        </w:numPr>
        <w:autoSpaceDE w:val="0"/>
        <w:autoSpaceDN w:val="0"/>
        <w:adjustRightInd w:val="0"/>
        <w:rPr>
          <w:rFonts w:eastAsia="HiddenHorzOCR"/>
          <w:sz w:val="22"/>
          <w:szCs w:val="22"/>
        </w:rPr>
      </w:pPr>
      <w:r w:rsidRPr="007E7607">
        <w:rPr>
          <w:sz w:val="22"/>
          <w:szCs w:val="22"/>
        </w:rPr>
        <w:t>Liquid crystal polymer and elastomer foams with controlled internal structure and network-like porosity</w:t>
      </w:r>
    </w:p>
    <w:p w14:paraId="5C41C759" w14:textId="77777777" w:rsidR="00BD74B6" w:rsidRPr="007E7607" w:rsidRDefault="00BD74B6" w:rsidP="00BD74B6">
      <w:pPr>
        <w:pStyle w:val="ListParagraph"/>
        <w:numPr>
          <w:ilvl w:val="0"/>
          <w:numId w:val="13"/>
        </w:numPr>
        <w:autoSpaceDE w:val="0"/>
        <w:autoSpaceDN w:val="0"/>
        <w:adjustRightInd w:val="0"/>
        <w:rPr>
          <w:rFonts w:eastAsia="HiddenHorzOCR"/>
          <w:sz w:val="22"/>
          <w:szCs w:val="22"/>
        </w:rPr>
      </w:pPr>
      <w:r w:rsidRPr="007E7607">
        <w:rPr>
          <w:rFonts w:eastAsia="HiddenHorzOCR"/>
          <w:sz w:val="22"/>
          <w:szCs w:val="22"/>
        </w:rPr>
        <w:t>Commercially available Ni foams are used as templates</w:t>
      </w:r>
    </w:p>
    <w:p w14:paraId="628985A9" w14:textId="77777777" w:rsidR="00BD74B6" w:rsidRPr="007E7607" w:rsidRDefault="00BD74B6" w:rsidP="00BD74B6">
      <w:pPr>
        <w:pStyle w:val="ListParagraph"/>
        <w:numPr>
          <w:ilvl w:val="0"/>
          <w:numId w:val="13"/>
        </w:numPr>
        <w:autoSpaceDE w:val="0"/>
        <w:autoSpaceDN w:val="0"/>
        <w:adjustRightInd w:val="0"/>
        <w:rPr>
          <w:rFonts w:eastAsia="HiddenHorzOCR"/>
          <w:sz w:val="22"/>
          <w:szCs w:val="22"/>
        </w:rPr>
      </w:pPr>
      <w:r w:rsidRPr="007E7607">
        <w:rPr>
          <w:rFonts w:eastAsia="HiddenHorzOCR"/>
          <w:sz w:val="22"/>
          <w:szCs w:val="22"/>
        </w:rPr>
        <w:t>Removal of the template leaves behind a full set of interconnected channels that can be filled with other materials</w:t>
      </w:r>
      <w:r>
        <w:rPr>
          <w:rFonts w:eastAsia="HiddenHorzOCR"/>
          <w:sz w:val="22"/>
          <w:szCs w:val="22"/>
        </w:rPr>
        <w:t xml:space="preserve">, </w:t>
      </w:r>
      <w:r w:rsidRPr="007E7607">
        <w:rPr>
          <w:rFonts w:eastAsia="HiddenHorzOCR"/>
          <w:sz w:val="22"/>
          <w:szCs w:val="22"/>
        </w:rPr>
        <w:t>enhanc</w:t>
      </w:r>
      <w:r>
        <w:rPr>
          <w:rFonts w:eastAsia="HiddenHorzOCR"/>
          <w:sz w:val="22"/>
          <w:szCs w:val="22"/>
        </w:rPr>
        <w:t>ing</w:t>
      </w:r>
      <w:r w:rsidRPr="007E7607">
        <w:rPr>
          <w:rFonts w:eastAsia="HiddenHorzOCR"/>
          <w:sz w:val="22"/>
          <w:szCs w:val="22"/>
        </w:rPr>
        <w:t xml:space="preserve"> the properties and uses in unique ways</w:t>
      </w:r>
    </w:p>
    <w:p w14:paraId="50D9868D" w14:textId="77777777" w:rsidR="00BD74B6" w:rsidRPr="007E7607" w:rsidRDefault="00BD74B6" w:rsidP="00BD74B6">
      <w:pPr>
        <w:spacing w:after="0"/>
        <w:rPr>
          <w:rFonts w:ascii="Times New Roman" w:hAnsi="Times New Roman" w:cs="Times New Roman"/>
        </w:rPr>
      </w:pPr>
    </w:p>
    <w:p w14:paraId="440BA71D" w14:textId="77777777" w:rsidR="00BD74B6" w:rsidRPr="007E7607" w:rsidRDefault="00BD74B6" w:rsidP="00BD74B6">
      <w:pPr>
        <w:autoSpaceDE w:val="0"/>
        <w:autoSpaceDN w:val="0"/>
        <w:adjustRightInd w:val="0"/>
        <w:spacing w:after="0" w:line="240" w:lineRule="auto"/>
        <w:rPr>
          <w:rFonts w:ascii="Times New Roman" w:hAnsi="Times New Roman" w:cs="Times New Roman"/>
          <w:u w:val="single"/>
        </w:rPr>
      </w:pPr>
      <w:r w:rsidRPr="007E7607">
        <w:rPr>
          <w:rFonts w:ascii="Times New Roman" w:hAnsi="Times New Roman" w:cs="Times New Roman"/>
          <w:u w:val="single"/>
        </w:rPr>
        <w:t xml:space="preserve">Patent Status: </w:t>
      </w:r>
    </w:p>
    <w:p w14:paraId="0E16DFDA" w14:textId="77777777" w:rsidR="00BD74B6" w:rsidRPr="007E7607" w:rsidRDefault="00BD74B6" w:rsidP="00BD74B6">
      <w:pPr>
        <w:autoSpaceDE w:val="0"/>
        <w:autoSpaceDN w:val="0"/>
        <w:adjustRightInd w:val="0"/>
        <w:spacing w:after="0" w:line="240" w:lineRule="auto"/>
        <w:rPr>
          <w:rFonts w:ascii="Times New Roman" w:hAnsi="Times New Roman" w:cs="Times New Roman"/>
          <w:u w:val="single"/>
        </w:rPr>
      </w:pPr>
    </w:p>
    <w:p w14:paraId="1E965948" w14:textId="77777777" w:rsidR="00BD74B6" w:rsidRPr="00CA363D" w:rsidRDefault="00BD74B6" w:rsidP="00BD74B6">
      <w:pPr>
        <w:pStyle w:val="ListParagraph"/>
        <w:numPr>
          <w:ilvl w:val="0"/>
          <w:numId w:val="26"/>
        </w:numPr>
        <w:rPr>
          <w:u w:val="single"/>
        </w:rPr>
      </w:pPr>
      <w:r w:rsidRPr="00D234B3">
        <w:rPr>
          <w:sz w:val="22"/>
        </w:rPr>
        <w:t>KSU.430- PCT US 2014/033967</w:t>
      </w:r>
    </w:p>
    <w:p w14:paraId="08EBE3A5" w14:textId="77777777" w:rsidR="00BD74B6" w:rsidRPr="00CA363D" w:rsidRDefault="00BD74B6" w:rsidP="00BD74B6">
      <w:pPr>
        <w:pStyle w:val="ListParagraph"/>
        <w:numPr>
          <w:ilvl w:val="0"/>
          <w:numId w:val="26"/>
        </w:numPr>
        <w:rPr>
          <w:color w:val="000000"/>
        </w:rPr>
      </w:pPr>
      <w:r w:rsidRPr="00D234B3">
        <w:rPr>
          <w:sz w:val="22"/>
        </w:rPr>
        <w:t>KSU 452-US Provisional</w:t>
      </w:r>
      <w:r w:rsidRPr="00D234B3">
        <w:rPr>
          <w:color w:val="000000"/>
          <w:sz w:val="22"/>
        </w:rPr>
        <w:t>– 61/918,084</w:t>
      </w:r>
    </w:p>
    <w:sectPr w:rsidR="00BD74B6" w:rsidRPr="00CA363D" w:rsidSect="007C37F2">
      <w:type w:val="continuous"/>
      <w:pgSz w:w="12240" w:h="15840"/>
      <w:pgMar w:top="620" w:right="9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819D0"/>
    <w:multiLevelType w:val="hybridMultilevel"/>
    <w:tmpl w:val="EE48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B6D00"/>
    <w:multiLevelType w:val="hybridMultilevel"/>
    <w:tmpl w:val="EE98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5556C"/>
    <w:multiLevelType w:val="hybridMultilevel"/>
    <w:tmpl w:val="B79C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4327E"/>
    <w:multiLevelType w:val="hybridMultilevel"/>
    <w:tmpl w:val="A1B4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D3510"/>
    <w:multiLevelType w:val="hybridMultilevel"/>
    <w:tmpl w:val="D2CED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85212"/>
    <w:multiLevelType w:val="hybridMultilevel"/>
    <w:tmpl w:val="B00E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22BD5"/>
    <w:multiLevelType w:val="hybridMultilevel"/>
    <w:tmpl w:val="9164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A6FDC"/>
    <w:multiLevelType w:val="hybridMultilevel"/>
    <w:tmpl w:val="4D8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60C92"/>
    <w:multiLevelType w:val="hybridMultilevel"/>
    <w:tmpl w:val="FAF06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A80E31"/>
    <w:multiLevelType w:val="hybridMultilevel"/>
    <w:tmpl w:val="3230D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01433"/>
    <w:multiLevelType w:val="hybridMultilevel"/>
    <w:tmpl w:val="C92C1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7C09DE"/>
    <w:multiLevelType w:val="hybridMultilevel"/>
    <w:tmpl w:val="E84C2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A3D70"/>
    <w:multiLevelType w:val="hybridMultilevel"/>
    <w:tmpl w:val="76FE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F0B5D"/>
    <w:multiLevelType w:val="hybridMultilevel"/>
    <w:tmpl w:val="3DB47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B76A15"/>
    <w:multiLevelType w:val="hybridMultilevel"/>
    <w:tmpl w:val="E266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D2CE0"/>
    <w:multiLevelType w:val="hybridMultilevel"/>
    <w:tmpl w:val="D11E2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3E5BD1"/>
    <w:multiLevelType w:val="hybridMultilevel"/>
    <w:tmpl w:val="5C86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A358EB"/>
    <w:multiLevelType w:val="hybridMultilevel"/>
    <w:tmpl w:val="0534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38686A"/>
    <w:multiLevelType w:val="hybridMultilevel"/>
    <w:tmpl w:val="F06E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616398"/>
    <w:multiLevelType w:val="hybridMultilevel"/>
    <w:tmpl w:val="2F22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0F318C"/>
    <w:multiLevelType w:val="hybridMultilevel"/>
    <w:tmpl w:val="1EEE0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2E2E2F"/>
    <w:multiLevelType w:val="hybridMultilevel"/>
    <w:tmpl w:val="0EE0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C96421"/>
    <w:multiLevelType w:val="hybridMultilevel"/>
    <w:tmpl w:val="30D6CE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B74A4F"/>
    <w:multiLevelType w:val="hybridMultilevel"/>
    <w:tmpl w:val="DEE4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300242"/>
    <w:multiLevelType w:val="hybridMultilevel"/>
    <w:tmpl w:val="A9E8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E16B94"/>
    <w:multiLevelType w:val="hybridMultilevel"/>
    <w:tmpl w:val="B1D0258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6" w15:restartNumberingAfterBreak="0">
    <w:nsid w:val="7BC220C7"/>
    <w:multiLevelType w:val="hybridMultilevel"/>
    <w:tmpl w:val="35CC3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6A4B53"/>
    <w:multiLevelType w:val="hybridMultilevel"/>
    <w:tmpl w:val="F000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CE79E8"/>
    <w:multiLevelType w:val="hybridMultilevel"/>
    <w:tmpl w:val="FC52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1"/>
  </w:num>
  <w:num w:numId="4">
    <w:abstractNumId w:val="16"/>
  </w:num>
  <w:num w:numId="5">
    <w:abstractNumId w:val="15"/>
  </w:num>
  <w:num w:numId="6">
    <w:abstractNumId w:val="5"/>
  </w:num>
  <w:num w:numId="7">
    <w:abstractNumId w:val="22"/>
  </w:num>
  <w:num w:numId="8">
    <w:abstractNumId w:val="19"/>
  </w:num>
  <w:num w:numId="9">
    <w:abstractNumId w:val="17"/>
  </w:num>
  <w:num w:numId="10">
    <w:abstractNumId w:val="25"/>
  </w:num>
  <w:num w:numId="11">
    <w:abstractNumId w:val="28"/>
  </w:num>
  <w:num w:numId="12">
    <w:abstractNumId w:val="2"/>
  </w:num>
  <w:num w:numId="13">
    <w:abstractNumId w:val="8"/>
  </w:num>
  <w:num w:numId="14">
    <w:abstractNumId w:val="13"/>
  </w:num>
  <w:num w:numId="15">
    <w:abstractNumId w:val="14"/>
  </w:num>
  <w:num w:numId="16">
    <w:abstractNumId w:val="10"/>
  </w:num>
  <w:num w:numId="17">
    <w:abstractNumId w:val="20"/>
  </w:num>
  <w:num w:numId="18">
    <w:abstractNumId w:val="7"/>
  </w:num>
  <w:num w:numId="19">
    <w:abstractNumId w:val="12"/>
  </w:num>
  <w:num w:numId="20">
    <w:abstractNumId w:val="18"/>
  </w:num>
  <w:num w:numId="21">
    <w:abstractNumId w:val="6"/>
  </w:num>
  <w:num w:numId="22">
    <w:abstractNumId w:val="27"/>
  </w:num>
  <w:num w:numId="23">
    <w:abstractNumId w:val="9"/>
  </w:num>
  <w:num w:numId="24">
    <w:abstractNumId w:val="21"/>
  </w:num>
  <w:num w:numId="25">
    <w:abstractNumId w:val="23"/>
  </w:num>
  <w:num w:numId="26">
    <w:abstractNumId w:val="3"/>
  </w:num>
  <w:num w:numId="27">
    <w:abstractNumId w:val="0"/>
  </w:num>
  <w:num w:numId="28">
    <w:abstractNumId w:val="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4B6"/>
    <w:rsid w:val="00001537"/>
    <w:rsid w:val="00356A20"/>
    <w:rsid w:val="00A75A37"/>
    <w:rsid w:val="00AA7A24"/>
    <w:rsid w:val="00BC1C20"/>
    <w:rsid w:val="00BD7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796BB9"/>
  <w15:docId w15:val="{D02546B2-A5A0-4CB2-A67F-5C8E733D2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4B6"/>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4B6"/>
    <w:pPr>
      <w:widowControl/>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D74B6"/>
  </w:style>
  <w:style w:type="paragraph" w:styleId="Caption">
    <w:name w:val="caption"/>
    <w:basedOn w:val="Normal"/>
    <w:next w:val="Normal"/>
    <w:uiPriority w:val="35"/>
    <w:unhideWhenUsed/>
    <w:qFormat/>
    <w:rsid w:val="00BD74B6"/>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BD7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4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Nagarajan, Saravanan</dc:creator>
  <cp:lastModifiedBy>Nadeau, Bristyn</cp:lastModifiedBy>
  <cp:revision>4</cp:revision>
  <dcterms:created xsi:type="dcterms:W3CDTF">2015-01-15T16:11:00Z</dcterms:created>
  <dcterms:modified xsi:type="dcterms:W3CDTF">2021-06-03T18:20:00Z</dcterms:modified>
</cp:coreProperties>
</file>